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6 Sample Questions to Test: (CRI vs </w:t>
      </w:r>
      <w:hyperlink r:id="rId6">
        <w:r w:rsidDel="00000000" w:rsidR="00000000" w:rsidRPr="00000000">
          <w:rPr>
            <w:rFonts w:ascii="Calibri" w:cs="Calibri" w:eastAsia="Calibri" w:hAnsi="Calibri"/>
            <w:b w:val="1"/>
            <w:bCs w:val="1"/>
            <w:color w:val="1155cc"/>
            <w:sz w:val="36"/>
            <w:szCs w:val="36"/>
            <w:u w:val="single"/>
            <w:rtl w:val="0"/>
          </w:rPr>
          <w:t xml:space="preserve">Perplexity.ai</w:t>
        </w:r>
      </w:hyperlink>
      <w:r w:rsidDel="00000000" w:rsidR="00000000" w:rsidRPr="00000000">
        <w:rPr>
          <w:rFonts w:ascii="Calibri" w:cs="Calibri" w:eastAsia="Calibri" w:hAnsi="Calibri"/>
          <w:b w:val="1"/>
          <w:bCs w:val="1"/>
          <w:sz w:val="36"/>
          <w:szCs w:val="36"/>
          <w:rtl w:val="0"/>
        </w:rPr>
        <w:t xml:space="preserve"> vs Claude.ai</w:t>
      </w:r>
    </w:p>
    <w:p w:rsidR="00000000" w:rsidDel="00000000" w:rsidP="00000000" w:rsidRDefault="00000000" w:rsidRPr="00000000" w14:paraId="0000000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spacing w:after="160" w:line="259" w:lineRule="auto"/>
        <w:ind w:left="0" w:firstLine="0"/>
        <w:jc w:val="both"/>
        <w:rPr>
          <w:rFonts w:ascii="Calibri" w:cs="Calibri" w:eastAsia="Calibri" w:hAnsi="Calibri"/>
          <w:b w:val="1"/>
          <w:bCs w:val="1"/>
          <w:sz w:val="28"/>
          <w:szCs w:val="28"/>
          <w:highlight w:val="green"/>
        </w:rPr>
      </w:pPr>
      <w:r w:rsidDel="00000000" w:rsidR="00000000" w:rsidRPr="00000000">
        <w:rPr>
          <w:rFonts w:ascii="Calibri" w:cs="Calibri" w:eastAsia="Calibri" w:hAnsi="Calibri"/>
          <w:b w:val="1"/>
          <w:bCs w:val="1"/>
          <w:sz w:val="28"/>
          <w:szCs w:val="28"/>
          <w:highlight w:val="green"/>
          <w:rtl w:val="0"/>
        </w:rPr>
        <w:t xml:space="preserve">Question 1: How has the SEC’s interpretation of the Howey Test evolved across enforcement cases related to crypto tokens, and what classification patterns can the knowledge base identify?</w:t>
      </w:r>
    </w:p>
    <w:p w:rsidR="00000000" w:rsidDel="00000000" w:rsidP="00000000" w:rsidRDefault="00000000" w:rsidRPr="00000000" w14:paraId="00000004">
      <w:pPr>
        <w:spacing w:after="160" w:line="259" w:lineRule="auto"/>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5">
      <w:pPr>
        <w:spacing w:after="160" w:line="259" w:lineRule="auto"/>
        <w:jc w:val="both"/>
        <w:rPr>
          <w:rFonts w:ascii="Calibri" w:cs="Calibri" w:eastAsia="Calibri" w:hAnsi="Calibri"/>
          <w:b w:val="1"/>
          <w:bCs w:val="1"/>
          <w:sz w:val="28"/>
          <w:szCs w:val="28"/>
          <w:highlight w:val="green"/>
        </w:rPr>
      </w:pPr>
      <w:r w:rsidDel="00000000" w:rsidR="00000000" w:rsidRPr="00000000">
        <w:rPr>
          <w:rFonts w:ascii="Calibri" w:cs="Calibri" w:eastAsia="Calibri" w:hAnsi="Calibri"/>
          <w:b w:val="1"/>
          <w:bCs w:val="1"/>
          <w:sz w:val="28"/>
          <w:szCs w:val="28"/>
          <w:highlight w:val="green"/>
          <w:rtl w:val="0"/>
        </w:rPr>
        <w:t xml:space="preserve">CRI:</w:t>
      </w:r>
    </w:p>
    <w:p w:rsidR="00000000" w:rsidDel="00000000" w:rsidP="00000000" w:rsidRDefault="00000000" w:rsidRPr="00000000" w14:paraId="00000006">
      <w:pPr>
        <w:spacing w:after="160" w:line="259" w:lineRule="auto"/>
        <w:jc w:val="both"/>
        <w:rPr>
          <w:rFonts w:ascii="Calibri" w:cs="Calibri" w:eastAsia="Calibri" w:hAnsi="Calibri"/>
          <w:sz w:val="21"/>
          <w:szCs w:val="21"/>
          <w:shd w:fill="f5f5f5" w:val="clear"/>
        </w:rPr>
      </w:pPr>
      <w:r w:rsidDel="00000000" w:rsidR="00000000" w:rsidRPr="00000000">
        <w:rPr>
          <w:rFonts w:ascii="Calibri" w:cs="Calibri" w:eastAsia="Calibri" w:hAnsi="Calibri"/>
          <w:sz w:val="21"/>
          <w:szCs w:val="21"/>
          <w:shd w:fill="f5f5f5" w:val="clear"/>
          <w:rtl w:val="0"/>
        </w:rPr>
        <w:t xml:space="preserve">Short answer (summary) - The SEC’s application of the Howey test to crypto has been consistent in using Howey’s four-prong economic-reality approach, but its enforcement and courts’ treatment have evolved and split on key factual questions — especially whether secondary/exchange sales can be “offers/sales” under Howey and how “efforts of others”/decentralization are analyzed. (Evidence below.) - Pattern across cases: tokens sold as fundraising instruments, accompanied by issuer/promoter marketing or ongoing issuer efforts, are most often treated as securities; purely decentralized, post‑launch utility tokens without issuer-driven profit expectations are the most likely to be treated as non‑securities — but that “decentralization” line is heavily litigated and unresolved. (Evidence below.)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Detailed, evidence-backed account (with RAG citations) I. Core approach the SEC and courts use</w:t>
      </w:r>
    </w:p>
    <w:p w:rsidR="00000000" w:rsidDel="00000000" w:rsidP="00000000" w:rsidRDefault="00000000" w:rsidRPr="00000000" w14:paraId="00000008">
      <w:pPr>
        <w:numPr>
          <w:ilvl w:val="0"/>
          <w:numId w:val="69"/>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The Commission and courts apply the Howey four‑prong (investment of money, common enterprise, expectation of profit, profit from efforts of others) and focus on economic reality over labels. The SEC’s 2019 FinHub “Framework” formalized this approach for digital assets.</w:t>
      </w:r>
    </w:p>
    <w:p w:rsidR="00000000" w:rsidDel="00000000" w:rsidP="00000000" w:rsidRDefault="00000000" w:rsidRPr="00000000" w14:paraId="00000009">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“The Howey test defines an investment contract as ... Courts </w:t>
      </w:r>
    </w:p>
    <w:p w:rsidR="00000000" w:rsidDel="00000000" w:rsidP="00000000" w:rsidRDefault="00000000" w:rsidRPr="00000000" w14:paraId="0000000A">
      <w:pPr>
        <w:numPr>
          <w:ilvl w:val="1"/>
          <w:numId w:val="69"/>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apply this test to the economic reality of a transaction rather than to formal labels.” (Lee Reiners, Task Force Written Input; relevance score 14.85; snippet: “The Howey test defines an investment contract as a contract, transaction, or scheme involving (1) an investment of money ... Courts apply this test to the economic reality of a transaction rather than to formal labels.”) [relevance 14.85, snippet from page 6]</w:t>
      </w:r>
    </w:p>
    <w:p w:rsidR="00000000" w:rsidDel="00000000" w:rsidP="00000000" w:rsidRDefault="00000000" w:rsidRPr="00000000" w14:paraId="0000000B">
      <w:pPr>
        <w:numPr>
          <w:ilvl w:val="1"/>
          <w:numId w:val="69"/>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FinHub Framework cited as primary guidance: “Framework for ‘Investment Contract’ Analysis of Digital Assets.” (SEC newsroom “How We Howey”, relevance 27.25; snippet listing Hinman and the FinHub Framework links.) [relevance 27.25]</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II. Key stages / cases showing evolution and divergence</w:t>
      </w:r>
    </w:p>
    <w:p w:rsidR="00000000" w:rsidDel="00000000" w:rsidP="00000000" w:rsidRDefault="00000000" w:rsidRPr="00000000" w14:paraId="0000000D">
      <w:pPr>
        <w:numPr>
          <w:ilvl w:val="0"/>
          <w:numId w:val="70"/>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Early cases and SEC framework (pre‑2018 → 2019): courts accepted that crypto contributions (even in bitcoin) could be an “investment of money” and the SEC issued the FinHub Framework (2019) to apply Howey to digital assets.</w:t>
      </w:r>
    </w:p>
    <w:p w:rsidR="00000000" w:rsidDel="00000000" w:rsidP="00000000" w:rsidRDefault="00000000" w:rsidRPr="00000000" w14:paraId="0000000E">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SEC v. Shavers (2013) recognized Bitcoin contributions as “investment of money” — “it is clear that Bitcoin can be used as money.” (Reiners summary; relevance 14.85; snippet referencing Shavers.) [relevance 14.85]</w:t>
      </w:r>
    </w:p>
    <w:p w:rsidR="00000000" w:rsidDel="00000000" w:rsidP="00000000" w:rsidRDefault="00000000" w:rsidRPr="00000000" w14:paraId="0000000F">
      <w:pPr>
        <w:numPr>
          <w:ilvl w:val="0"/>
          <w:numId w:val="7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Hinman speech (2018) and subsequent interpretations: Hinman’s remarks (2018) proposed that some tokens may cease to be securities once a network is sufficiently decentralized; courts and the SEC have since treated Hinman persuasively but not controlling.</w:t>
      </w:r>
    </w:p>
    <w:p w:rsidR="00000000" w:rsidDel="00000000" w:rsidP="00000000" w:rsidRDefault="00000000" w:rsidRPr="00000000" w14:paraId="00000010">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Hinman “When Howey Met Gary (Plastic)” referenced in SEC guidance and commentaries. (SEC “How We Howey”, relevance 27.25; snippet referencing Hinman.) [relevance 27.25]</w:t>
      </w:r>
    </w:p>
    <w:p w:rsidR="00000000" w:rsidDel="00000000" w:rsidP="00000000" w:rsidRDefault="00000000" w:rsidRPr="00000000" w14:paraId="00000011">
      <w:pPr>
        <w:numPr>
          <w:ilvl w:val="0"/>
          <w:numId w:val="7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Mid‑period enforcement (2019–2022): many settlements and court rulings (Kik, Telegram, LBRY, Kik) reiterated Howey’s adaptability to tokenized fundraising and ICOs — tokens sold as fundraising tied to issuer efforts were usually treated as securities.</w:t>
      </w:r>
    </w:p>
    <w:p w:rsidR="00000000" w:rsidDel="00000000" w:rsidP="00000000" w:rsidRDefault="00000000" w:rsidRPr="00000000" w14:paraId="00000012">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“Howey has been consistently applied to cryptocurrency cases ... the Commission has won, or settled, the vast majority of them.” (Reiners, relevance 15.33; snippet: “In most of these cases, the SEC has applied the Howey test ... the Commission has won, or settled, the vast majority of them.”) [relevance 15.33]</w:t>
      </w:r>
    </w:p>
    <w:p w:rsidR="00000000" w:rsidDel="00000000" w:rsidP="00000000" w:rsidRDefault="00000000" w:rsidRPr="00000000" w14:paraId="00000013">
      <w:pPr>
        <w:numPr>
          <w:ilvl w:val="0"/>
          <w:numId w:val="7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Ripple (S.D.N.Y., Judge Torres, July 2023): partial win for defendant on a narrow question — Judge Torres held institutional XRP sales were securities but programmatic exchange sales (secondary market) were not shown to be SEC §5 offers/sales on the record before her (focus on how the sale was made). That decision emphasized transaction context and left open factual analysis for some secondary sales.</w:t>
      </w:r>
    </w:p>
    <w:p w:rsidR="00000000" w:rsidDel="00000000" w:rsidP="00000000" w:rsidRDefault="00000000" w:rsidRPr="00000000" w14:paraId="00000014">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“Judge Torres found that only the ‘Institutional Sales’ constituted the unregistered offer and sale ... For the Programmatic Sales ... ruled these did not constitute investment contracts because the third prong ... was not satisfied ... buyers were not aware they were buying XRP from Ripple.” (Reiners summary, relevance 15.33; snippet from page 9) [relevance 15.33]</w:t>
      </w:r>
    </w:p>
    <w:p w:rsidR="00000000" w:rsidDel="00000000" w:rsidP="00000000" w:rsidRDefault="00000000" w:rsidRPr="00000000" w14:paraId="00000015">
      <w:pPr>
        <w:numPr>
          <w:ilvl w:val="0"/>
          <w:numId w:val="7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Terraform (S.D.N.Y., Judge Rakoff, Aug &amp; Dec 2023): nearly opposite of Ripple on secondary sales — Rakoff refused to distinguish between private and public/exchange sales and later found (summary judgment) that Terraform tokens were securities as a matter of law. Rakoff emphasized that Howey does not distinguish based on manner of sale.</w:t>
      </w:r>
    </w:p>
    <w:p w:rsidR="00000000" w:rsidDel="00000000" w:rsidP="00000000" w:rsidRDefault="00000000" w:rsidRPr="00000000" w14:paraId="00000016">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“Rakoff ... expressly rejected the idea that Howey distinguishes between institutional sales and secondary-market sales ... ‘Howey makes no such distinction between purchasers’ ... In December 2023 ... holding ‘as a matter of law’ that the Terraform tokens ... were securities under Howey.” (Reiners, relevance 15.38; snippet from page 10) [relevance 15.38]</w:t>
      </w:r>
    </w:p>
    <w:p w:rsidR="00000000" w:rsidDel="00000000" w:rsidP="00000000" w:rsidRDefault="00000000" w:rsidRPr="00000000" w14:paraId="00000017">
      <w:pPr>
        <w:numPr>
          <w:ilvl w:val="0"/>
          <w:numId w:val="7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Platform cases and enforcement shift (2023 onward): SEC shifted enforcement focus from every issuer to platforms (exchanges), arguing platforms facilitate offers/sales of securities; courts have split on whether exchange listings of tokens constitute facilitating unregistered securities offerings (see Coinbase, Binance litigation developments).</w:t>
      </w:r>
    </w:p>
    <w:p w:rsidR="00000000" w:rsidDel="00000000" w:rsidP="00000000" w:rsidRDefault="00000000" w:rsidRPr="00000000" w14:paraId="00000018">
      <w:pPr>
        <w:numPr>
          <w:ilvl w:val="1"/>
          <w:numId w:val="7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“Rather than play a game of whack-a-mole ... the SEC changed its approach ... to direct its limited enforcement resources towards the platforms where most crypto investors bought and sold their tokens.” (Reiners, relevance 15.38; snippet from page 10) [relevance 15.38]</w:t>
      </w:r>
    </w:p>
    <w:p w:rsidR="00000000" w:rsidDel="00000000" w:rsidP="00000000" w:rsidRDefault="00000000" w:rsidRPr="00000000" w14:paraId="00000019">
      <w:pPr>
        <w:numPr>
          <w:ilvl w:val="0"/>
          <w:numId w:val="7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Recent interlocutory and appellate activity (2024–2025): judges and circuits are certifying and/or flagging controlling legal questions (e.g., whether secondary market sales can be Howey offers/sales; how to evaluate “efforts of others” in decentralized networks). Some judges (Judge Failla in Coinbase-related order) have stressed no bright-line primary/secondary distinction and certified questions for appeal.</w:t>
      </w:r>
    </w:p>
    <w:p w:rsidR="00000000" w:rsidDel="00000000" w:rsidP="00000000" w:rsidRDefault="00000000" w:rsidRPr="00000000" w14:paraId="0000001A">
      <w:pPr>
        <w:numPr>
          <w:ilvl w:val="1"/>
          <w:numId w:val="70"/>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“Judge Failla ... rejected the approach adopted by Judge Analise Torres ... there is no requirement for a contractual undertaking ... certified the Order for interlocutory appeal because it presents a controlling question of law regarding the reach and application of Howey to crypto-assets.” (Reiners, relevance 15.00; snippet from page 12) [relevance 15.00]</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III. Classification patterns the knowledge base identifies (Each pattern is supported by cited materials below.)</w:t>
      </w:r>
    </w:p>
    <w:p w:rsidR="00000000" w:rsidDel="00000000" w:rsidP="00000000" w:rsidRDefault="00000000" w:rsidRPr="00000000" w14:paraId="0000001C">
      <w:pPr>
        <w:numPr>
          <w:ilvl w:val="0"/>
          <w:numId w:val="33"/>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Fundraising/ICO / pre‑functional token sales → very likely securities</w:t>
      </w:r>
    </w:p>
    <w:p w:rsidR="00000000" w:rsidDel="00000000" w:rsidP="00000000" w:rsidRDefault="00000000" w:rsidRPr="00000000" w14:paraId="0000001D">
      <w:pPr>
        <w:numPr>
          <w:ilvl w:val="0"/>
          <w:numId w:val="35"/>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Tokens sold in ICOs or in fundraising rounds where proceeds fund development and promoters market future profit/utility are repeatedly treated as investment contracts.</w:t>
      </w:r>
    </w:p>
    <w:p w:rsidR="00000000" w:rsidDel="00000000" w:rsidP="00000000" w:rsidRDefault="00000000" w:rsidRPr="00000000" w14:paraId="0000001E">
      <w:pPr>
        <w:numPr>
          <w:ilvl w:val="1"/>
          <w:numId w:val="3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“The rulings reinforce that Howey is adaptable. ... from pre-functional tokens ... with courts often analogizing these to the ‘countless schemes’ Howey envisioned.” (Reiners, relevance 13.64; snippet from page 25) [relevance 13.64]</w:t>
      </w:r>
    </w:p>
    <w:p w:rsidR="00000000" w:rsidDel="00000000" w:rsidP="00000000" w:rsidRDefault="00000000" w:rsidRPr="00000000" w14:paraId="0000001F">
      <w:pPr>
        <w:numPr>
          <w:ilvl w:val="0"/>
          <w:numId w:val="24"/>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Promoter control / marketing / ongoing issuer efforts → increases likelihood a token is a security</w:t>
      </w:r>
    </w:p>
    <w:p w:rsidR="00000000" w:rsidDel="00000000" w:rsidP="00000000" w:rsidRDefault="00000000" w:rsidRPr="00000000" w14:paraId="00000020">
      <w:pPr>
        <w:numPr>
          <w:ilvl w:val="0"/>
          <w:numId w:val="21"/>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If purchasers are induced by issuer promises/marketing and expect appreciation from issuer/developer efforts (roadmap, buybacks, staking programs run by the issuer), courts find the “expectation of profits from the efforts of others” satisfied.</w:t>
      </w:r>
    </w:p>
    <w:p w:rsidR="00000000" w:rsidDel="00000000" w:rsidP="00000000" w:rsidRDefault="00000000" w:rsidRPr="00000000" w14:paraId="00000021">
      <w:pPr>
        <w:numPr>
          <w:ilvl w:val="1"/>
          <w:numId w:val="21"/>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“If a secondary-market buyer was induced by the issuer’s marketing and expected profits from the issuer’s ongoing efforts, that can satisfy Howey even without direct privity.” (Reiners, relevance 15.38; snippet page 10 re: Rakoff) [relevance 15.38]</w:t>
      </w:r>
    </w:p>
    <w:p w:rsidR="00000000" w:rsidDel="00000000" w:rsidP="00000000" w:rsidRDefault="00000000" w:rsidRPr="00000000" w14:paraId="00000022">
      <w:pPr>
        <w:numPr>
          <w:ilvl w:val="0"/>
          <w:numId w:val="6"/>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Sales method matters empirically but is legally contested (institutional vs programmatic/secondary)</w:t>
      </w:r>
    </w:p>
    <w:p w:rsidR="00000000" w:rsidDel="00000000" w:rsidP="00000000" w:rsidRDefault="00000000" w:rsidRPr="00000000" w14:paraId="00000023">
      <w:pPr>
        <w:numPr>
          <w:ilvl w:val="0"/>
          <w:numId w:val="31"/>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Pattern: Some courts treat institutional/contractual private sales as more clearly Howey offers; Ripple’s Torres ruling treated programmatic exchange sales differently, while Rakoff (Terraform) and other judges decline to draw that distinction. So classification depends heavily on record/facts about what buyers were told/expected.</w:t>
      </w:r>
    </w:p>
    <w:p w:rsidR="00000000" w:rsidDel="00000000" w:rsidP="00000000" w:rsidRDefault="00000000" w:rsidRPr="00000000" w14:paraId="00000024">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(Ripple): “Judge Torres found ... only the ‘Institutional Sales’ constituted ... For the Programmatic Sales ... ruled these did not constitute investment contracts ... buyers were not aware they were buying XRP from Ripple.” (Reiners, relevance 15.33; snippet page 9) [relevance 15.33]</w:t>
      </w:r>
    </w:p>
    <w:p w:rsidR="00000000" w:rsidDel="00000000" w:rsidP="00000000" w:rsidRDefault="00000000" w:rsidRPr="00000000" w14:paraId="00000025">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(Terraform/Rakoff): “Rakoff ... declined to draw a distinction … based on [the] manner of sale … Howey makes no such distinction between purchasers.” (Reiners, relevance 15.38; snippet page 10) [relevance 15.38]</w:t>
      </w:r>
    </w:p>
    <w:p w:rsidR="00000000" w:rsidDel="00000000" w:rsidP="00000000" w:rsidRDefault="00000000" w:rsidRPr="00000000" w14:paraId="00000026">
      <w:pPr>
        <w:numPr>
          <w:ilvl w:val="0"/>
          <w:numId w:val="2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“Decentralization” / “efforts of others” is the critical contested prong</w:t>
      </w:r>
    </w:p>
    <w:p w:rsidR="00000000" w:rsidDel="00000000" w:rsidP="00000000" w:rsidRDefault="00000000" w:rsidRPr="00000000" w14:paraId="00000027">
      <w:pPr>
        <w:numPr>
          <w:ilvl w:val="0"/>
          <w:numId w:val="63"/>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Pattern: Where an identifiable promoter continues to steer, courts find Howey’s “efforts” prong met; the “sufficient decentralization” argument (tokens becoming non‑securities as networks decentralize) is persuasive in principle but has not uniformly defeated SEC claims in enforcement cases to date.</w:t>
      </w:r>
    </w:p>
    <w:p w:rsidR="00000000" w:rsidDel="00000000" w:rsidP="00000000" w:rsidRDefault="00000000" w:rsidRPr="00000000" w14:paraId="00000028">
      <w:pPr>
        <w:numPr>
          <w:ilvl w:val="1"/>
          <w:numId w:val="63"/>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“No court has squarely rejected an SEC case on the ground that a token ecosystem was too decentralized to form a common enterprise — yet ... Truly decentralized cryptocurrencies (like Bitcoin itself, when not part of a fundraising scheme) might fall outside Howey, but those have not been the target of enforcement.” (Reiners, relevance 13.64; snippet page 25) [relevance 13.64]</w:t>
      </w:r>
    </w:p>
    <w:p w:rsidR="00000000" w:rsidDel="00000000" w:rsidP="00000000" w:rsidRDefault="00000000" w:rsidRPr="00000000" w14:paraId="00000029">
      <w:pPr>
        <w:numPr>
          <w:ilvl w:val="0"/>
          <w:numId w:val="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Asset type/function matters (staking, revenue-sharing, NFTs, airdrops)</w:t>
      </w:r>
    </w:p>
    <w:p w:rsidR="00000000" w:rsidDel="00000000" w:rsidP="00000000" w:rsidRDefault="00000000" w:rsidRPr="00000000" w14:paraId="0000002A">
      <w:pPr>
        <w:numPr>
          <w:ilvl w:val="0"/>
          <w:numId w:val="83"/>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Staking, lending, or tokens that grant a share of enterprise profits or income streams (or that operate like investment contracts) tend to be treated as securities. Industry respondents argue some airdrops or utility tokens should not be securities and request safe harbors. Courts have applied Howey to NFTs and other novel constructs when the economic reality looks like an investment contract.</w:t>
      </w:r>
    </w:p>
    <w:p w:rsidR="00000000" w:rsidDel="00000000" w:rsidP="00000000" w:rsidRDefault="00000000" w:rsidRPr="00000000" w14:paraId="0000002B">
      <w:pPr>
        <w:numPr>
          <w:ilvl w:val="1"/>
          <w:numId w:val="83"/>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(stated trends): “Investments in digital assets have constituted investments in a common enterprise because the fortunes of digital asset purchasers have been linked to each other or to the success of the promoter's efforts.” (SEC FinHub Framework cited by Reiners, relevance 14.94; snippet page 26) [relevance 14.94]</w:t>
      </w:r>
    </w:p>
    <w:p w:rsidR="00000000" w:rsidDel="00000000" w:rsidP="00000000" w:rsidRDefault="00000000" w:rsidRPr="00000000" w14:paraId="0000002C">
      <w:pPr>
        <w:numPr>
          <w:ilvl w:val="1"/>
          <w:numId w:val="83"/>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(industry pushback re airdrops/staking): Dragonfly argues airdrops “do not involve an investment of money ... do not create an expectation of profits derived from the efforts of others” and urges safe harbor. (Dragonfly/ Jessica Furr, relevance 15.28; snippet) [relevance 15.28]</w:t>
      </w:r>
    </w:p>
    <w:p w:rsidR="00000000" w:rsidDel="00000000" w:rsidP="00000000" w:rsidRDefault="00000000" w:rsidRPr="00000000" w14:paraId="0000002D">
      <w:pPr>
        <w:numPr>
          <w:ilvl w:val="1"/>
          <w:numId w:val="83"/>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(a16z safe-harbor proposal): a16z proposed criteria to exclude certain airdrops/incentives from securities laws under a safe harbor. (a16z, relevance 29.20; snippet summarizing proposal) [relevance 29.20]</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IV. What the knowledge base shows about uncertainty and litigation trends</w:t>
      </w:r>
    </w:p>
    <w:p w:rsidR="00000000" w:rsidDel="00000000" w:rsidP="00000000" w:rsidRDefault="00000000" w:rsidRPr="00000000" w14:paraId="0000002F">
      <w:pPr>
        <w:numPr>
          <w:ilvl w:val="0"/>
          <w:numId w:val="29"/>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High-level: Howey remains the governing test; enforcement continues; but courts are split on secondary sales and how to operationalize “efforts of others” for decentralized protocols. Several high-profile cases created competing lines of reasoning, so classification can turn on detailed facts (what purchasers were told, how the token was marketed, who retained control).</w:t>
      </w:r>
    </w:p>
    <w:p w:rsidR="00000000" w:rsidDel="00000000" w:rsidP="00000000" w:rsidRDefault="00000000" w:rsidRPr="00000000" w14:paraId="00000030">
      <w:pPr>
        <w:numPr>
          <w:ilvl w:val="1"/>
          <w:numId w:val="29"/>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“Judge Failla ... emphasized ... courts do not need ‘to distinguish between transactions on the primary market ... and those on the secondary market ...’ and certified the Order for interlocutory appeal ‘because it presents a controlling question of law ...’” (Reiners, relevance 15.00; snippet page 12) [relevance 15.00]</w:t>
      </w:r>
    </w:p>
    <w:p w:rsidR="00000000" w:rsidDel="00000000" w:rsidP="00000000" w:rsidRDefault="00000000" w:rsidRPr="00000000" w14:paraId="00000031">
      <w:pPr>
        <w:numPr>
          <w:ilvl w:val="1"/>
          <w:numId w:val="29"/>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(summary view): “The Howey test has been consistently applied ... federal courts have repeatedly confirmed the SEC’s jurisdiction in numerous crypto-related enforcement actions.” (Reiners, relevance 18.60; snippet) [relevance 18.60]</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V. Practical takeaways (for practitioners or projects)</w:t>
      </w:r>
    </w:p>
    <w:p w:rsidR="00000000" w:rsidDel="00000000" w:rsidP="00000000" w:rsidRDefault="00000000" w:rsidRPr="00000000" w14:paraId="00000033">
      <w:pPr>
        <w:numPr>
          <w:ilvl w:val="0"/>
          <w:numId w:val="57"/>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If your token offering involves raising capital, issuer/developer promises, marketing of price appreciation, lockups or revenue-sharing, assume a high risk that courts/SEC will treat it as a security.</w:t>
      </w:r>
    </w:p>
    <w:p w:rsidR="00000000" w:rsidDel="00000000" w:rsidP="00000000" w:rsidRDefault="00000000" w:rsidRPr="00000000" w14:paraId="00000034">
      <w:pPr>
        <w:numPr>
          <w:ilvl w:val="1"/>
          <w:numId w:val="5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FinHub framework and repeated case outcomes apply Howey to fundraising-token facts. (FinHub &amp; Reiners snippets, relevances 27.25 &amp; 14.85)</w:t>
      </w:r>
    </w:p>
    <w:p w:rsidR="00000000" w:rsidDel="00000000" w:rsidP="00000000" w:rsidRDefault="00000000" w:rsidRPr="00000000" w14:paraId="00000035">
      <w:pPr>
        <w:numPr>
          <w:ilvl w:val="0"/>
          <w:numId w:val="57"/>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To reduce securities risk, projects commonly try to: (a) avoid issuer promises of profit, (b) decentralize governance and control materially before wide circulation, (c) document utility and genuine non‑investment uses, (d) consider safe harbors or exemptions and seek legal opinions — but none of these guarantees a non‑security finding; the record and the messaging to purchasers matter.</w:t>
      </w:r>
    </w:p>
    <w:p w:rsidR="00000000" w:rsidDel="00000000" w:rsidP="00000000" w:rsidRDefault="00000000" w:rsidRPr="00000000" w14:paraId="00000036">
      <w:pPr>
        <w:numPr>
          <w:ilvl w:val="1"/>
          <w:numId w:val="57"/>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Evidence: Academic/practitioner proposals for clearer tests (Berkun’s “efforts of others” framework; Daugherty’s “restatement”) and industry safe-harbor proposals (a16z, Dragonfly) show the community’s response to uncertainty. (Berkun, relevance 27.21; Daugherty, relevance 28.02; a16z, relevance 29.20) [relevance scores and snippets cited above]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VI. Offer and suggested next steps</w:t>
      </w:r>
    </w:p>
    <w:p w:rsidR="00000000" w:rsidDel="00000000" w:rsidP="00000000" w:rsidRDefault="00000000" w:rsidRPr="00000000" w14:paraId="00000038">
      <w:pPr>
        <w:numPr>
          <w:ilvl w:val="0"/>
          <w:numId w:val="45"/>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If you want, I can:</w:t>
      </w:r>
    </w:p>
    <w:p w:rsidR="00000000" w:rsidDel="00000000" w:rsidP="00000000" w:rsidRDefault="00000000" w:rsidRPr="00000000" w14:paraId="00000039">
      <w:pPr>
        <w:numPr>
          <w:ilvl w:val="1"/>
          <w:numId w:val="4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Produce a case matrix (case name, court, year, Howey prongs found/not found, key facts that mattered, quote snippet + citation) for the principal crypto enforcement cases (Shavers, LBRY, Kik, Telegram, Ripple, Terraform, Coinbase, Binance, etc.).</w:t>
      </w:r>
    </w:p>
    <w:p w:rsidR="00000000" w:rsidDel="00000000" w:rsidP="00000000" w:rsidRDefault="00000000" w:rsidRPr="00000000" w14:paraId="0000003A">
      <w:pPr>
        <w:numPr>
          <w:ilvl w:val="1"/>
          <w:numId w:val="45"/>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Drill into one prong of Howey (e.g., “efforts of others”) with all excerpts and holdings from the major cases. Which would you prefer?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Selected citations (document title — relevance score — short snippet)</w:t>
      </w:r>
    </w:p>
    <w:p w:rsidR="00000000" w:rsidDel="00000000" w:rsidP="00000000" w:rsidRDefault="00000000" w:rsidRPr="00000000" w14:paraId="0000003C">
      <w:pPr>
        <w:numPr>
          <w:ilvl w:val="0"/>
          <w:numId w:val="52"/>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Lee Reiners, Duke University Prepared Statement (task-force-224) — relevance 18.60 — “The Howey test has been consistently applied to cryptocurrency cases … courts have affirmed the applicability of Howey to these platforms.” [</w:t>
      </w:r>
      <w:hyperlink r:id="rId7">
        <w:r w:rsidDel="00000000" w:rsidR="00000000" w:rsidRPr="00000000">
          <w:rPr>
            <w:rFonts w:ascii="Calibri" w:cs="Calibri" w:eastAsia="Calibri" w:hAnsi="Calibri"/>
            <w:u w:val="single"/>
            <w:shd w:fill="f5f5f5" w:val="clear"/>
            <w:rtl w:val="0"/>
          </w:rPr>
          <w:t xml:space="preserve">https://www.sec.gov/files/ctf-input-reiners-2025-3-18.pdf</w:t>
        </w:r>
      </w:hyperlink>
      <w:r w:rsidDel="00000000" w:rsidR="00000000" w:rsidRPr="00000000">
        <w:rPr>
          <w:rFonts w:ascii="Calibri" w:cs="Calibri" w:eastAsia="Calibri" w:hAnsi="Calibri"/>
          <w:shd w:fill="f5f5f5" w:val="clear"/>
          <w:rtl w:val="0"/>
        </w:rPr>
        <w:t xml:space="preserve">]</w:t>
      </w:r>
    </w:p>
    <w:p w:rsidR="00000000" w:rsidDel="00000000" w:rsidP="00000000" w:rsidRDefault="00000000" w:rsidRPr="00000000" w14:paraId="0000003D">
      <w:pPr>
        <w:numPr>
          <w:ilvl w:val="0"/>
          <w:numId w:val="5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Lee Reiners (same document, page 6) — relevance 14.85 — “The Howey test defines an investment contract … Courts apply this test to the economic reality of a transaction rather than to formal labels.” [page 6]</w:t>
      </w:r>
    </w:p>
    <w:p w:rsidR="00000000" w:rsidDel="00000000" w:rsidP="00000000" w:rsidRDefault="00000000" w:rsidRPr="00000000" w14:paraId="0000003E">
      <w:pPr>
        <w:numPr>
          <w:ilvl w:val="0"/>
          <w:numId w:val="5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Reiners (page 10, Terraform discussion) — relevance 15.38 — “Rakoff ... expressly rejected the idea that Howey distinguishes between institutional sales and secondary-market sales … Howey makes no such distinction between purchasers.” [page 10]</w:t>
      </w:r>
    </w:p>
    <w:p w:rsidR="00000000" w:rsidDel="00000000" w:rsidP="00000000" w:rsidRDefault="00000000" w:rsidRPr="00000000" w14:paraId="0000003F">
      <w:pPr>
        <w:numPr>
          <w:ilvl w:val="0"/>
          <w:numId w:val="5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Reiners (page 8–9, Ripple discussion) — relevance 15.33 — “Judge Torres found that only the ‘Institutional Sales’ constituted the unregistered offer and sale … For the Programmatic Sales … ruled these did not constitute investment contracts because … buyers were not aware they were buying XRP from Ripple.” [pages 8–9]</w:t>
      </w:r>
    </w:p>
    <w:p w:rsidR="00000000" w:rsidDel="00000000" w:rsidP="00000000" w:rsidRDefault="00000000" w:rsidRPr="00000000" w14:paraId="00000040">
      <w:pPr>
        <w:numPr>
          <w:ilvl w:val="0"/>
          <w:numId w:val="5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SEC newsroom “How We Howey” (Hinman, FinHub links) — relevance 27.25 — lists Hinman speech and FinHub Framework as key materials. [</w:t>
      </w:r>
      <w:hyperlink r:id="rId8">
        <w:r w:rsidDel="00000000" w:rsidR="00000000" w:rsidRPr="00000000">
          <w:rPr>
            <w:rFonts w:ascii="Calibri" w:cs="Calibri" w:eastAsia="Calibri" w:hAnsi="Calibri"/>
            <w:u w:val="single"/>
            <w:shd w:fill="f5f5f5" w:val="clear"/>
            <w:rtl w:val="0"/>
          </w:rPr>
          <w:t xml:space="preserve">https://www.sec.gov/newsroom/speeches-statements/peirce-how-we-howey-050919</w:t>
        </w:r>
      </w:hyperlink>
      <w:r w:rsidDel="00000000" w:rsidR="00000000" w:rsidRPr="00000000">
        <w:rPr>
          <w:rFonts w:ascii="Calibri" w:cs="Calibri" w:eastAsia="Calibri" w:hAnsi="Calibri"/>
          <w:shd w:fill="f5f5f5" w:val="clear"/>
          <w:rtl w:val="0"/>
        </w:rPr>
        <w:t xml:space="preserve">]</w:t>
      </w:r>
    </w:p>
    <w:p w:rsidR="00000000" w:rsidDel="00000000" w:rsidP="00000000" w:rsidRDefault="00000000" w:rsidRPr="00000000" w14:paraId="00000041">
      <w:pPr>
        <w:numPr>
          <w:ilvl w:val="0"/>
          <w:numId w:val="5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Daugherty, “Restatement of the Howey Common Law of Crypto Assets” — relevance 28.02 — proposes clarifying/ratifying common-law tests and cites many cases. [</w:t>
      </w:r>
      <w:hyperlink r:id="rId9">
        <w:r w:rsidDel="00000000" w:rsidR="00000000" w:rsidRPr="00000000">
          <w:rPr>
            <w:rFonts w:ascii="Calibri" w:cs="Calibri" w:eastAsia="Calibri" w:hAnsi="Calibri"/>
            <w:u w:val="single"/>
            <w:shd w:fill="f5f5f5" w:val="clear"/>
            <w:rtl w:val="0"/>
          </w:rPr>
          <w:t xml:space="preserve">https://www.sec.gov/files/ctf-input-daugherty-2025-3-20.pdf</w:t>
        </w:r>
      </w:hyperlink>
      <w:r w:rsidDel="00000000" w:rsidR="00000000" w:rsidRPr="00000000">
        <w:rPr>
          <w:rFonts w:ascii="Calibri" w:cs="Calibri" w:eastAsia="Calibri" w:hAnsi="Calibri"/>
          <w:shd w:fill="f5f5f5" w:val="clear"/>
          <w:rtl w:val="0"/>
        </w:rPr>
        <w:t xml:space="preserve">]</w:t>
      </w:r>
    </w:p>
    <w:p w:rsidR="00000000" w:rsidDel="00000000" w:rsidP="00000000" w:rsidRDefault="00000000" w:rsidRPr="00000000" w14:paraId="00000042">
      <w:pPr>
        <w:numPr>
          <w:ilvl w:val="0"/>
          <w:numId w:val="5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a16z proposal re airdrops/safe harbor — relevance 29.20 — recommends criteria to exclude certain airdrops/incentives from securities law. [a16z submission to SEC CT Task Force]</w:t>
      </w:r>
    </w:p>
    <w:p w:rsidR="00000000" w:rsidDel="00000000" w:rsidP="00000000" w:rsidRDefault="00000000" w:rsidRPr="00000000" w14:paraId="00000043">
      <w:pPr>
        <w:numPr>
          <w:ilvl w:val="0"/>
          <w:numId w:val="5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Dragonfly (Jessica Furr) “State of Airdrops” — relevance 15.28 — argues airdrops should not be securities and recommends safe harbors. [</w:t>
      </w:r>
      <w:hyperlink r:id="rId10">
        <w:r w:rsidDel="00000000" w:rsidR="00000000" w:rsidRPr="00000000">
          <w:rPr>
            <w:rFonts w:ascii="Calibri" w:cs="Calibri" w:eastAsia="Calibri" w:hAnsi="Calibri"/>
            <w:u w:val="single"/>
            <w:shd w:fill="f5f5f5" w:val="clear"/>
            <w:rtl w:val="0"/>
          </w:rPr>
          <w:t xml:space="preserve">https://www.sec.gov/files/dragonflys-state-airdrops-report-2025.pdf</w:t>
        </w:r>
      </w:hyperlink>
      <w:r w:rsidDel="00000000" w:rsidR="00000000" w:rsidRPr="00000000">
        <w:rPr>
          <w:rFonts w:ascii="Calibri" w:cs="Calibri" w:eastAsia="Calibri" w:hAnsi="Calibri"/>
          <w:shd w:fill="f5f5f5" w:val="clear"/>
          <w:rtl w:val="0"/>
        </w:rPr>
        <w:t xml:space="preserve">]</w:t>
      </w:r>
    </w:p>
    <w:p w:rsidR="00000000" w:rsidDel="00000000" w:rsidP="00000000" w:rsidRDefault="00000000" w:rsidRPr="00000000" w14:paraId="00000044">
      <w:pPr>
        <w:numPr>
          <w:ilvl w:val="0"/>
          <w:numId w:val="52"/>
        </w:numPr>
        <w:pBdr>
          <w:top w:color="auto" w:space="0" w:sz="0" w:val="none"/>
          <w:bottom w:color="auto" w:space="0" w:sz="0" w:val="none"/>
          <w:right w:color="auto" w:space="0" w:sz="0" w:val="none"/>
          <w:between w:color="auto" w:space="0" w:sz="0" w:val="none"/>
        </w:pBdr>
        <w:shd w:fill="0b1120" w:val="clear"/>
        <w:spacing w:after="280" w:before="0" w:beforeAutospacing="0" w:line="259" w:lineRule="auto"/>
        <w:ind w:left="980" w:hanging="360"/>
        <w:jc w:val="both"/>
        <w:rPr>
          <w:rFonts w:ascii="Calibri" w:cs="Calibri" w:eastAsia="Calibri" w:hAnsi="Calibri"/>
          <w:color w:val="000000"/>
          <w:shd w:fill="f5f5f5" w:val="clear"/>
        </w:rPr>
      </w:pPr>
      <w:r w:rsidDel="00000000" w:rsidR="00000000" w:rsidRPr="00000000">
        <w:rPr>
          <w:rFonts w:ascii="Calibri" w:cs="Calibri" w:eastAsia="Calibri" w:hAnsi="Calibri"/>
          <w:shd w:fill="f5f5f5" w:val="clear"/>
          <w:rtl w:val="0"/>
        </w:rPr>
        <w:t xml:space="preserve">Reiners (page 25) — relevance 13.64 — “No court has squarely rejected an SEC case on the ground that a token ecosystem was too decentralized to form a common enterprise — yet.” [page 25]</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If you want the case matrix I suggested (table of cases, holdings, key facts and direct quotes/snippets), tell me the format you prefer (spreadsheet, CSV, or written table) and which cases to include (I can start with the 8–12 leading decisions: Shavers, LBRY, Kik, Telegram, Hinman materials, Ripple, Terraform, Coinbase, Binance).</w:t>
      </w:r>
    </w:p>
    <w:p w:rsidR="00000000" w:rsidDel="00000000" w:rsidP="00000000" w:rsidRDefault="00000000" w:rsidRPr="00000000" w14:paraId="00000046">
      <w:pPr>
        <w:spacing w:after="160" w:line="259" w:lineRule="auto"/>
        <w:jc w:val="both"/>
        <w:rPr>
          <w:rFonts w:ascii="Calibri" w:cs="Calibri" w:eastAsia="Calibri" w:hAnsi="Calibri"/>
          <w:shd w:fill="f5f5f5" w:val="clear"/>
        </w:rPr>
      </w:pPr>
      <w:r w:rsidDel="00000000" w:rsidR="00000000" w:rsidRPr="00000000">
        <w:rPr>
          <w:rtl w:val="0"/>
        </w:rPr>
      </w:r>
    </w:p>
    <w:p w:rsidR="00000000" w:rsidDel="00000000" w:rsidP="00000000" w:rsidRDefault="00000000" w:rsidRPr="00000000" w14:paraId="00000047">
      <w:pPr>
        <w:spacing w:after="160" w:line="259" w:lineRule="auto"/>
        <w:jc w:val="both"/>
        <w:rPr>
          <w:rFonts w:ascii="Calibri" w:cs="Calibri" w:eastAsia="Calibri" w:hAnsi="Calibri"/>
          <w:b w:val="1"/>
          <w:bCs w:val="1"/>
          <w:color w:val="0000ff"/>
          <w:sz w:val="28"/>
          <w:szCs w:val="28"/>
          <w:shd w:fill="f5f5f5" w:val="clear"/>
        </w:rPr>
      </w:pPr>
      <w:r w:rsidDel="00000000" w:rsidR="00000000" w:rsidRPr="00000000">
        <w:rPr>
          <w:rFonts w:ascii="Calibri" w:cs="Calibri" w:eastAsia="Calibri" w:hAnsi="Calibri"/>
          <w:b w:val="1"/>
          <w:bCs w:val="1"/>
          <w:color w:val="0000ff"/>
          <w:sz w:val="28"/>
          <w:szCs w:val="28"/>
          <w:shd w:fill="f5f5f5" w:val="clear"/>
          <w:rtl w:val="0"/>
        </w:rPr>
        <w:t xml:space="preserve">Perplexity:</w:t>
      </w:r>
    </w:p>
    <w:p w:rsidR="00000000" w:rsidDel="00000000" w:rsidP="00000000" w:rsidRDefault="00000000" w:rsidRPr="00000000" w14:paraId="00000048">
      <w:pPr>
        <w:spacing w:after="160" w:line="259" w:lineRule="auto"/>
        <w:ind w:left="0" w:firstLine="0"/>
        <w:jc w:val="both"/>
        <w:rPr>
          <w:rFonts w:ascii="Calibri" w:cs="Calibri" w:eastAsia="Calibri" w:hAnsi="Calibri"/>
          <w:b w:val="1"/>
          <w:bCs w:val="1"/>
          <w:color w:val="0000ff"/>
          <w:sz w:val="28"/>
          <w:szCs w:val="28"/>
          <w:shd w:fill="f5f5f5" w:val="clear"/>
        </w:rPr>
      </w:pPr>
      <w:r w:rsidDel="00000000" w:rsidR="00000000" w:rsidRPr="00000000">
        <w:rPr>
          <w:rFonts w:ascii="Calibri" w:cs="Calibri" w:eastAsia="Calibri" w:hAnsi="Calibri"/>
          <w:b w:val="1"/>
          <w:bCs w:val="1"/>
          <w:sz w:val="24"/>
          <w:szCs w:val="24"/>
          <w:rtl w:val="0"/>
        </w:rPr>
        <w:t xml:space="preserve">Question 1. How has the SEC’s interpretation of the </w:t>
      </w:r>
      <w:r w:rsidDel="00000000" w:rsidR="00000000" w:rsidRPr="00000000">
        <w:rPr>
          <w:rFonts w:ascii="Calibri" w:cs="Calibri" w:eastAsia="Calibri" w:hAnsi="Calibri"/>
          <w:b w:val="1"/>
          <w:bCs w:val="1"/>
          <w:sz w:val="24"/>
          <w:szCs w:val="24"/>
          <w:highlight w:val="yellow"/>
          <w:rtl w:val="0"/>
        </w:rPr>
        <w:t xml:space="preserve">Howey Test</w:t>
      </w:r>
      <w:r w:rsidDel="00000000" w:rsidR="00000000" w:rsidRPr="00000000">
        <w:rPr>
          <w:rFonts w:ascii="Calibri" w:cs="Calibri" w:eastAsia="Calibri" w:hAnsi="Calibri"/>
          <w:b w:val="1"/>
          <w:bCs w:val="1"/>
          <w:sz w:val="24"/>
          <w:szCs w:val="24"/>
          <w:rtl w:val="0"/>
        </w:rPr>
        <w:t xml:space="preserve"> evolved across enforcement cases related to crypto tokens, and what classification patterns can the knowledge base identify?</w:t>
      </w:r>
      <w:r w:rsidDel="00000000" w:rsidR="00000000" w:rsidRPr="00000000">
        <w:rPr>
          <w:rtl w:val="0"/>
        </w:rPr>
      </w:r>
    </w:p>
    <w:p w:rsidR="00000000" w:rsidDel="00000000" w:rsidP="00000000" w:rsidRDefault="00000000" w:rsidRPr="00000000" w14:paraId="00000049">
      <w:pPr>
        <w:spacing w:after="240" w:before="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The SEC has consistently applied the formal </w:t>
      </w:r>
      <w:r w:rsidDel="00000000" w:rsidR="00000000" w:rsidRPr="00000000">
        <w:rPr>
          <w:rFonts w:ascii="Calibri" w:cs="Calibri" w:eastAsia="Calibri" w:hAnsi="Calibri"/>
          <w:i w:val="1"/>
          <w:iCs w:val="1"/>
          <w:shd w:fill="f5f5f5" w:val="clear"/>
          <w:rtl w:val="0"/>
        </w:rPr>
        <w:t xml:space="preserve">Howey</w:t>
      </w:r>
      <w:r w:rsidDel="00000000" w:rsidR="00000000" w:rsidRPr="00000000">
        <w:rPr>
          <w:rFonts w:ascii="Calibri" w:cs="Calibri" w:eastAsia="Calibri" w:hAnsi="Calibri"/>
          <w:shd w:fill="f5f5f5" w:val="clear"/>
          <w:rtl w:val="0"/>
        </w:rPr>
        <w:t xml:space="preserve"> prongs to crypto tokens but has shifted in how it defines the “investment contract” around a token, how it groups transactions, and which factual patterns it targets, leading to fairly stable but increasingly granular classification patterns across cases.houstonlawreview+2</w:t>
      </w:r>
    </w:p>
    <w:p w:rsidR="00000000" w:rsidDel="00000000" w:rsidP="00000000" w:rsidRDefault="00000000" w:rsidRPr="00000000" w14:paraId="0000004A">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a6pfybggtu0r" w:id="0"/>
      <w:bookmarkEnd w:id="0"/>
      <w:r w:rsidDel="00000000" w:rsidR="00000000" w:rsidRPr="00000000">
        <w:rPr>
          <w:rFonts w:ascii="Calibri" w:cs="Calibri" w:eastAsia="Calibri" w:hAnsi="Calibri"/>
          <w:b w:val="1"/>
          <w:bCs w:val="1"/>
          <w:sz w:val="34"/>
          <w:szCs w:val="34"/>
          <w:shd w:fill="f5f5f5" w:val="clear"/>
          <w:rtl w:val="0"/>
        </w:rPr>
        <w:t xml:space="preserve">Evolution of Howey Application</w:t>
      </w:r>
    </w:p>
    <w:p w:rsidR="00000000" w:rsidDel="00000000" w:rsidP="00000000" w:rsidRDefault="00000000" w:rsidRPr="00000000" w14:paraId="0000004B">
      <w:pPr>
        <w:numPr>
          <w:ilvl w:val="0"/>
          <w:numId w:val="81"/>
        </w:numPr>
        <w:spacing w:after="0" w:afterAutospacing="0" w:before="24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Early token cases and guidance framed almost any fundraising token sale with marketing about price appreciation as an </w:t>
      </w:r>
      <w:r w:rsidDel="00000000" w:rsidR="00000000" w:rsidRPr="00000000">
        <w:rPr>
          <w:rFonts w:ascii="Calibri" w:cs="Calibri" w:eastAsia="Calibri" w:hAnsi="Calibri"/>
          <w:i w:val="1"/>
          <w:iCs w:val="1"/>
          <w:shd w:fill="f5f5f5" w:val="clear"/>
          <w:rtl w:val="0"/>
        </w:rPr>
        <w:t xml:space="preserve">investment contract</w:t>
      </w:r>
      <w:r w:rsidDel="00000000" w:rsidR="00000000" w:rsidRPr="00000000">
        <w:rPr>
          <w:rFonts w:ascii="Calibri" w:cs="Calibri" w:eastAsia="Calibri" w:hAnsi="Calibri"/>
          <w:shd w:fill="f5f5f5" w:val="clear"/>
          <w:rtl w:val="0"/>
        </w:rPr>
        <w:t xml:space="preserve">, emphasizing expectations of profit from the issuer’s efforts, without much nuance about different transaction types or buyers.web3.gate+1</w:t>
        <w:br w:type="textWrapping"/>
      </w:r>
    </w:p>
    <w:p w:rsidR="00000000" w:rsidDel="00000000" w:rsidP="00000000" w:rsidRDefault="00000000" w:rsidRPr="00000000" w14:paraId="0000004C">
      <w:pPr>
        <w:numPr>
          <w:ilvl w:val="0"/>
          <w:numId w:val="81"/>
        </w:numPr>
        <w:spacing w:after="0" w:afterAutospacing="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In major litigated cases (most prominently Ripple Labs and Terraform Labs), courts began to apply </w:t>
      </w:r>
      <w:r w:rsidDel="00000000" w:rsidR="00000000" w:rsidRPr="00000000">
        <w:rPr>
          <w:rFonts w:ascii="Calibri" w:cs="Calibri" w:eastAsia="Calibri" w:hAnsi="Calibri"/>
          <w:i w:val="1"/>
          <w:iCs w:val="1"/>
          <w:shd w:fill="f5f5f5" w:val="clear"/>
          <w:rtl w:val="0"/>
        </w:rPr>
        <w:t xml:space="preserve">Howey</w:t>
      </w:r>
      <w:r w:rsidDel="00000000" w:rsidR="00000000" w:rsidRPr="00000000">
        <w:rPr>
          <w:rFonts w:ascii="Calibri" w:cs="Calibri" w:eastAsia="Calibri" w:hAnsi="Calibri"/>
          <w:shd w:fill="f5f5f5" w:val="clear"/>
          <w:rtl w:val="0"/>
        </w:rPr>
        <w:t xml:space="preserve"> at the level of specific </w:t>
      </w:r>
      <w:r w:rsidDel="00000000" w:rsidR="00000000" w:rsidRPr="00000000">
        <w:rPr>
          <w:rFonts w:ascii="Calibri" w:cs="Calibri" w:eastAsia="Calibri" w:hAnsi="Calibri"/>
          <w:b w:val="1"/>
          <w:bCs w:val="1"/>
          <w:shd w:fill="f5f5f5" w:val="clear"/>
          <w:rtl w:val="0"/>
        </w:rPr>
        <w:t xml:space="preserve">transaction types</w:t>
      </w:r>
      <w:r w:rsidDel="00000000" w:rsidR="00000000" w:rsidRPr="00000000">
        <w:rPr>
          <w:rFonts w:ascii="Calibri" w:cs="Calibri" w:eastAsia="Calibri" w:hAnsi="Calibri"/>
          <w:shd w:fill="f5f5f5" w:val="clear"/>
          <w:rtl w:val="0"/>
        </w:rPr>
        <w:t xml:space="preserve"> rather than the token in the abstract, forcing both the SEC and courts to distinguish between primary offerings to institutions, structured sales, and secondary trading.sciencedirect+1</w:t>
        <w:br w:type="textWrapping"/>
      </w:r>
    </w:p>
    <w:p w:rsidR="00000000" w:rsidDel="00000000" w:rsidP="00000000" w:rsidRDefault="00000000" w:rsidRPr="00000000" w14:paraId="0000004D">
      <w:pPr>
        <w:numPr>
          <w:ilvl w:val="0"/>
          <w:numId w:val="81"/>
        </w:numPr>
        <w:spacing w:after="0" w:afterAutospacing="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Ripple’s decision treated institutional sales with explicit promotional materials about Ripple’s efforts as investment contracts, while treating certain programmatic/secondary trades differently, effectively narrowing the SEC’s broad “the token itself is a security” stance and focusing on context, marketing, and buyer sophistication.[</w:t>
      </w:r>
      <w:hyperlink r:id="rId11">
        <w:r w:rsidDel="00000000" w:rsidR="00000000" w:rsidRPr="00000000">
          <w:rPr>
            <w:rFonts w:ascii="Calibri" w:cs="Calibri" w:eastAsia="Calibri" w:hAnsi="Calibri"/>
            <w:color w:val="1155cc"/>
            <w:u w:val="single"/>
            <w:shd w:fill="f5f5f5" w:val="clear"/>
            <w:rtl w:val="0"/>
          </w:rPr>
          <w:t xml:space="preserve">houstonlawreview</w:t>
        </w:r>
      </w:hyperlink>
      <w:r w:rsidDel="00000000" w:rsidR="00000000" w:rsidRPr="00000000">
        <w:rPr>
          <w:rFonts w:ascii="Calibri" w:cs="Calibri" w:eastAsia="Calibri" w:hAnsi="Calibri"/>
          <w:shd w:fill="f5f5f5" w:val="clear"/>
          <w:rtl w:val="0"/>
        </w:rPr>
        <w:t xml:space="preserve">]​</w:t>
        <w:br w:type="textWrapping"/>
      </w:r>
    </w:p>
    <w:p w:rsidR="00000000" w:rsidDel="00000000" w:rsidP="00000000" w:rsidRDefault="00000000" w:rsidRPr="00000000" w14:paraId="0000004E">
      <w:pPr>
        <w:numPr>
          <w:ilvl w:val="0"/>
          <w:numId w:val="81"/>
        </w:numPr>
        <w:spacing w:after="0" w:afterAutospacing="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Terraform, by contrast, accepted the SEC’s theory that the issuer’s broad public campaign to tout profits and its managerial skill could support grouping multiple types of sales into a single </w:t>
      </w:r>
      <w:r w:rsidDel="00000000" w:rsidR="00000000" w:rsidRPr="00000000">
        <w:rPr>
          <w:rFonts w:ascii="Calibri" w:cs="Calibri" w:eastAsia="Calibri" w:hAnsi="Calibri"/>
          <w:i w:val="1"/>
          <w:iCs w:val="1"/>
          <w:shd w:fill="f5f5f5" w:val="clear"/>
          <w:rtl w:val="0"/>
        </w:rPr>
        <w:t xml:space="preserve">Howey</w:t>
      </w:r>
      <w:r w:rsidDel="00000000" w:rsidR="00000000" w:rsidRPr="00000000">
        <w:rPr>
          <w:rFonts w:ascii="Calibri" w:cs="Calibri" w:eastAsia="Calibri" w:hAnsi="Calibri"/>
          <w:shd w:fill="f5f5f5" w:val="clear"/>
          <w:rtl w:val="0"/>
        </w:rPr>
        <w:t xml:space="preserve"> analysis, reinforcing a more expansive, “scheme-based” view that looks at the overall promotional ecosystem around a token rather than each channel separately.[</w:t>
      </w:r>
      <w:hyperlink r:id="rId12">
        <w:r w:rsidDel="00000000" w:rsidR="00000000" w:rsidRPr="00000000">
          <w:rPr>
            <w:rFonts w:ascii="Calibri" w:cs="Calibri" w:eastAsia="Calibri" w:hAnsi="Calibri"/>
            <w:color w:val="1155cc"/>
            <w:u w:val="single"/>
            <w:shd w:fill="f5f5f5" w:val="clear"/>
            <w:rtl w:val="0"/>
          </w:rPr>
          <w:t xml:space="preserve">houstonlawreview</w:t>
        </w:r>
      </w:hyperlink>
      <w:r w:rsidDel="00000000" w:rsidR="00000000" w:rsidRPr="00000000">
        <w:rPr>
          <w:rFonts w:ascii="Calibri" w:cs="Calibri" w:eastAsia="Calibri" w:hAnsi="Calibri"/>
          <w:shd w:fill="f5f5f5" w:val="clear"/>
          <w:rtl w:val="0"/>
        </w:rPr>
        <w:t xml:space="preserve">]​</w:t>
        <w:br w:type="textWrapping"/>
      </w:r>
    </w:p>
    <w:p w:rsidR="00000000" w:rsidDel="00000000" w:rsidP="00000000" w:rsidRDefault="00000000" w:rsidRPr="00000000" w14:paraId="0000004F">
      <w:pPr>
        <w:numPr>
          <w:ilvl w:val="0"/>
          <w:numId w:val="81"/>
        </w:numPr>
        <w:spacing w:after="24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Across these and subsequent discussions, the SEC and courts have increasingly framed the question as “is this </w:t>
      </w:r>
      <w:r w:rsidDel="00000000" w:rsidR="00000000" w:rsidRPr="00000000">
        <w:rPr>
          <w:rFonts w:ascii="Calibri" w:cs="Calibri" w:eastAsia="Calibri" w:hAnsi="Calibri"/>
          <w:i w:val="1"/>
          <w:iCs w:val="1"/>
          <w:shd w:fill="f5f5f5" w:val="clear"/>
          <w:rtl w:val="0"/>
        </w:rPr>
        <w:t xml:space="preserve">set of offers and sales</w:t>
      </w:r>
      <w:r w:rsidDel="00000000" w:rsidR="00000000" w:rsidRPr="00000000">
        <w:rPr>
          <w:rFonts w:ascii="Calibri" w:cs="Calibri" w:eastAsia="Calibri" w:hAnsi="Calibri"/>
          <w:shd w:fill="f5f5f5" w:val="clear"/>
          <w:rtl w:val="0"/>
        </w:rPr>
        <w:t xml:space="preserve"> an investment contract?” rather than “is this </w:t>
      </w:r>
      <w:r w:rsidDel="00000000" w:rsidR="00000000" w:rsidRPr="00000000">
        <w:rPr>
          <w:rFonts w:ascii="Calibri" w:cs="Calibri" w:eastAsia="Calibri" w:hAnsi="Calibri"/>
          <w:i w:val="1"/>
          <w:iCs w:val="1"/>
          <w:shd w:fill="f5f5f5" w:val="clear"/>
          <w:rtl w:val="0"/>
        </w:rPr>
        <w:t xml:space="preserve">token</w:t>
      </w:r>
      <w:r w:rsidDel="00000000" w:rsidR="00000000" w:rsidRPr="00000000">
        <w:rPr>
          <w:rFonts w:ascii="Calibri" w:cs="Calibri" w:eastAsia="Calibri" w:hAnsi="Calibri"/>
          <w:shd w:fill="f5f5f5" w:val="clear"/>
          <w:rtl w:val="0"/>
        </w:rPr>
        <w:t xml:space="preserve"> a security?”, which allows for the possibility that the same token can be sold in both securities and non‑securities transactions depending on how it is marketed and structured.aoshearman+1</w:t>
        <w:br w:type="textWrapping"/>
      </w:r>
    </w:p>
    <w:p w:rsidR="00000000" w:rsidDel="00000000" w:rsidP="00000000" w:rsidRDefault="00000000" w:rsidRPr="00000000" w14:paraId="00000050">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a4cc12lrffma" w:id="1"/>
      <w:bookmarkEnd w:id="1"/>
      <w:r w:rsidDel="00000000" w:rsidR="00000000" w:rsidRPr="00000000">
        <w:rPr>
          <w:rFonts w:ascii="Calibri" w:cs="Calibri" w:eastAsia="Calibri" w:hAnsi="Calibri"/>
          <w:b w:val="1"/>
          <w:bCs w:val="1"/>
          <w:sz w:val="34"/>
          <w:szCs w:val="34"/>
          <w:shd w:fill="f5f5f5" w:val="clear"/>
          <w:rtl w:val="0"/>
        </w:rPr>
        <w:t xml:space="preserve">Key Howey Prong Trends</w:t>
      </w:r>
    </w:p>
    <w:p w:rsidR="00000000" w:rsidDel="00000000" w:rsidP="00000000" w:rsidRDefault="00000000" w:rsidRPr="00000000" w14:paraId="00000051">
      <w:pPr>
        <w:numPr>
          <w:ilvl w:val="0"/>
          <w:numId w:val="48"/>
        </w:numPr>
        <w:spacing w:after="0" w:afterAutospacing="0" w:before="24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b w:val="1"/>
          <w:bCs w:val="1"/>
          <w:shd w:fill="f5f5f5" w:val="clear"/>
          <w:rtl w:val="0"/>
        </w:rPr>
        <w:t xml:space="preserve">Expectation of profits:</w:t>
      </w:r>
      <w:r w:rsidDel="00000000" w:rsidR="00000000" w:rsidRPr="00000000">
        <w:rPr>
          <w:rFonts w:ascii="Calibri" w:cs="Calibri" w:eastAsia="Calibri" w:hAnsi="Calibri"/>
          <w:shd w:fill="f5f5f5" w:val="clear"/>
          <w:rtl w:val="0"/>
        </w:rPr>
        <w:t xml:space="preserve"> For crypto, the analysis has centered on promotional statements, whitepapers, social media, and issuer roadmaps that stress token price, listing plans, or ecosystem growth driven by the team, with courts diverging on how much explicit profit language is needed (Ripple arguably tightening the standard, Terraform accepting broader “hype” as sufficient).web3.gate+1</w:t>
        <w:br w:type="textWrapping"/>
      </w:r>
    </w:p>
    <w:p w:rsidR="00000000" w:rsidDel="00000000" w:rsidP="00000000" w:rsidRDefault="00000000" w:rsidRPr="00000000" w14:paraId="00000052">
      <w:pPr>
        <w:numPr>
          <w:ilvl w:val="0"/>
          <w:numId w:val="48"/>
        </w:numPr>
        <w:spacing w:after="0" w:afterAutospacing="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b w:val="1"/>
          <w:bCs w:val="1"/>
          <w:shd w:fill="f5f5f5" w:val="clear"/>
          <w:rtl w:val="0"/>
        </w:rPr>
        <w:t xml:space="preserve">Efforts of others:</w:t>
      </w:r>
      <w:r w:rsidDel="00000000" w:rsidR="00000000" w:rsidRPr="00000000">
        <w:rPr>
          <w:rFonts w:ascii="Calibri" w:cs="Calibri" w:eastAsia="Calibri" w:hAnsi="Calibri"/>
          <w:shd w:fill="f5f5f5" w:val="clear"/>
          <w:rtl w:val="0"/>
        </w:rPr>
        <w:t xml:space="preserve"> Cases increasingly focus on whether ongoing managerial/technical efforts by a core team are essential to token value, versus tokens whose value derives from a decentralized protocol or user activity, aligning with emerging SEC commentary that “essential managerial efforts” require relatively clear representations or dependence.winston+1</w:t>
        <w:br w:type="textWrapping"/>
      </w:r>
    </w:p>
    <w:p w:rsidR="00000000" w:rsidDel="00000000" w:rsidP="00000000" w:rsidRDefault="00000000" w:rsidRPr="00000000" w14:paraId="00000053">
      <w:pPr>
        <w:numPr>
          <w:ilvl w:val="0"/>
          <w:numId w:val="48"/>
        </w:numPr>
        <w:spacing w:after="0" w:afterAutospacing="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b w:val="1"/>
          <w:bCs w:val="1"/>
          <w:shd w:fill="f5f5f5" w:val="clear"/>
          <w:rtl w:val="0"/>
        </w:rPr>
        <w:t xml:space="preserve">Common enterprise:</w:t>
      </w:r>
      <w:r w:rsidDel="00000000" w:rsidR="00000000" w:rsidRPr="00000000">
        <w:rPr>
          <w:rFonts w:ascii="Calibri" w:cs="Calibri" w:eastAsia="Calibri" w:hAnsi="Calibri"/>
          <w:shd w:fill="f5f5f5" w:val="clear"/>
          <w:rtl w:val="0"/>
        </w:rPr>
        <w:t xml:space="preserve"> Rather than invent new doctrine, courts have treated pooling of funds, use of proceeds for protocol development, and alignment between token value and issuer success as sufficient to satisfy this prong in most contested token offerings.web3.gate+1</w:t>
        <w:br w:type="textWrapping"/>
      </w:r>
    </w:p>
    <w:p w:rsidR="00000000" w:rsidDel="00000000" w:rsidP="00000000" w:rsidRDefault="00000000" w:rsidRPr="00000000" w14:paraId="00000054">
      <w:pPr>
        <w:numPr>
          <w:ilvl w:val="0"/>
          <w:numId w:val="48"/>
        </w:numPr>
        <w:spacing w:after="24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b w:val="1"/>
          <w:bCs w:val="1"/>
          <w:shd w:fill="f5f5f5" w:val="clear"/>
          <w:rtl w:val="0"/>
        </w:rPr>
        <w:t xml:space="preserve">Transactional context:</w:t>
      </w:r>
      <w:r w:rsidDel="00000000" w:rsidR="00000000" w:rsidRPr="00000000">
        <w:rPr>
          <w:rFonts w:ascii="Calibri" w:cs="Calibri" w:eastAsia="Calibri" w:hAnsi="Calibri"/>
          <w:shd w:fill="f5f5f5" w:val="clear"/>
          <w:rtl w:val="0"/>
        </w:rPr>
        <w:t xml:space="preserve"> Anonymous exchange trading has become a flashpoint; Ripple emphasized the difficulty of showing specific reliance on issuer efforts in such trades, whereas Terraform took a more holistic view, inferring that retail buyers on exchanges still relied on Terraform’s public promotional efforts and ecosystem role.[</w:t>
      </w:r>
      <w:hyperlink r:id="rId13">
        <w:r w:rsidDel="00000000" w:rsidR="00000000" w:rsidRPr="00000000">
          <w:rPr>
            <w:rFonts w:ascii="Calibri" w:cs="Calibri" w:eastAsia="Calibri" w:hAnsi="Calibri"/>
            <w:color w:val="1155cc"/>
            <w:u w:val="single"/>
            <w:shd w:fill="f5f5f5" w:val="clear"/>
            <w:rtl w:val="0"/>
          </w:rPr>
          <w:t xml:space="preserve">houstonlawreview</w:t>
        </w:r>
      </w:hyperlink>
      <w:r w:rsidDel="00000000" w:rsidR="00000000" w:rsidRPr="00000000">
        <w:rPr>
          <w:rFonts w:ascii="Calibri" w:cs="Calibri" w:eastAsia="Calibri" w:hAnsi="Calibri"/>
          <w:shd w:fill="f5f5f5" w:val="clear"/>
          <w:rtl w:val="0"/>
        </w:rPr>
        <w:t xml:space="preserve">]​</w:t>
        <w:br w:type="textWrapping"/>
      </w:r>
    </w:p>
    <w:p w:rsidR="00000000" w:rsidDel="00000000" w:rsidP="00000000" w:rsidRDefault="00000000" w:rsidRPr="00000000" w14:paraId="00000055">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rwhlgldonjqu" w:id="2"/>
      <w:bookmarkEnd w:id="2"/>
      <w:r w:rsidDel="00000000" w:rsidR="00000000" w:rsidRPr="00000000">
        <w:rPr>
          <w:rFonts w:ascii="Calibri" w:cs="Calibri" w:eastAsia="Calibri" w:hAnsi="Calibri"/>
          <w:b w:val="1"/>
          <w:bCs w:val="1"/>
          <w:sz w:val="34"/>
          <w:szCs w:val="34"/>
          <w:shd w:fill="f5f5f5" w:val="clear"/>
          <w:rtl w:val="0"/>
        </w:rPr>
        <w:t xml:space="preserve">Emerging Classification Patterns</w:t>
      </w:r>
    </w:p>
    <w:p w:rsidR="00000000" w:rsidDel="00000000" w:rsidP="00000000" w:rsidRDefault="00000000" w:rsidRPr="00000000" w14:paraId="00000056">
      <w:pPr>
        <w:spacing w:after="240" w:before="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Although there is no binding, comprehensive statutory taxonomy yet, a few patterns emerge from enforcement practice, litigation, and recent SEC‑adjacent digital‑asset taxonomies.jbba.scholasticahq+3</w:t>
      </w:r>
    </w:p>
    <w:p w:rsidR="00000000" w:rsidDel="00000000" w:rsidP="00000000" w:rsidRDefault="00000000" w:rsidRPr="00000000" w14:paraId="00000057">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oxrywxtunxbm" w:id="3"/>
      <w:bookmarkEnd w:id="3"/>
      <w:r w:rsidDel="00000000" w:rsidR="00000000" w:rsidRPr="00000000">
        <w:rPr>
          <w:rFonts w:ascii="Calibri" w:cs="Calibri" w:eastAsia="Calibri" w:hAnsi="Calibri"/>
          <w:b w:val="1"/>
          <w:bCs w:val="1"/>
          <w:sz w:val="34"/>
          <w:szCs w:val="34"/>
          <w:shd w:fill="f5f5f5" w:val="clear"/>
          <w:rtl w:val="0"/>
        </w:rPr>
        <w:t xml:space="preserve">1. Fundraising / “Enterprise” Tokens (Often Securities)</w:t>
      </w:r>
    </w:p>
    <w:p w:rsidR="00000000" w:rsidDel="00000000" w:rsidP="00000000" w:rsidRDefault="00000000" w:rsidRPr="00000000" w14:paraId="00000058">
      <w:pPr>
        <w:spacing w:after="240" w:before="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Tokens are most likely to be treated as securities where:</w:t>
      </w:r>
    </w:p>
    <w:p w:rsidR="00000000" w:rsidDel="00000000" w:rsidP="00000000" w:rsidRDefault="00000000" w:rsidRPr="00000000" w14:paraId="00000059">
      <w:pPr>
        <w:numPr>
          <w:ilvl w:val="0"/>
          <w:numId w:val="13"/>
        </w:numPr>
        <w:spacing w:after="0" w:afterAutospacing="0" w:before="24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They are sold in primary offerings (SAFTs, private placements, public ICO‑style sales) with funds used to build a platform, protocol, or business controlled by a core team.</w:t>
        <w:br w:type="textWrapping"/>
      </w:r>
    </w:p>
    <w:p w:rsidR="00000000" w:rsidDel="00000000" w:rsidP="00000000" w:rsidRDefault="00000000" w:rsidRPr="00000000" w14:paraId="0000005A">
      <w:pPr>
        <w:numPr>
          <w:ilvl w:val="0"/>
          <w:numId w:val="13"/>
        </w:numPr>
        <w:spacing w:after="0" w:afterAutospacing="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Marketing highlights token price, exchange listings, or returns tied to platform growth, or stresses the team’s unique ability to deliver technical or business milestones.</w:t>
        <w:br w:type="textWrapping"/>
      </w:r>
    </w:p>
    <w:p w:rsidR="00000000" w:rsidDel="00000000" w:rsidP="00000000" w:rsidRDefault="00000000" w:rsidRPr="00000000" w14:paraId="0000005B">
      <w:pPr>
        <w:numPr>
          <w:ilvl w:val="0"/>
          <w:numId w:val="13"/>
        </w:numPr>
        <w:spacing w:after="24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Issuer continues to play a central role in governance, code changes, partnerships, or treasury management, making token value depend heavily on that team’s ongoing efforts.sciencedirect+2</w:t>
        <w:br w:type="textWrapping"/>
      </w:r>
    </w:p>
    <w:p w:rsidR="00000000" w:rsidDel="00000000" w:rsidP="00000000" w:rsidRDefault="00000000" w:rsidRPr="00000000" w14:paraId="0000005C">
      <w:pPr>
        <w:spacing w:after="240" w:before="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These are the archetypal “crypto asset securities” in SEC enforcement, functionally analogous to stock or project shares wrapped in a token.sciencedirect+1</w:t>
      </w:r>
    </w:p>
    <w:p w:rsidR="00000000" w:rsidDel="00000000" w:rsidP="00000000" w:rsidRDefault="00000000" w:rsidRPr="00000000" w14:paraId="0000005D">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bb01v09t4vhv" w:id="4"/>
      <w:bookmarkEnd w:id="4"/>
      <w:r w:rsidDel="00000000" w:rsidR="00000000" w:rsidRPr="00000000">
        <w:rPr>
          <w:rFonts w:ascii="Calibri" w:cs="Calibri" w:eastAsia="Calibri" w:hAnsi="Calibri"/>
          <w:b w:val="1"/>
          <w:bCs w:val="1"/>
          <w:sz w:val="34"/>
          <w:szCs w:val="34"/>
          <w:shd w:fill="f5f5f5" w:val="clear"/>
          <w:rtl w:val="0"/>
        </w:rPr>
        <w:t xml:space="preserve">2. Network / Digital Commodity Tokens (Less Likely Securities)</w:t>
      </w:r>
    </w:p>
    <w:p w:rsidR="00000000" w:rsidDel="00000000" w:rsidP="00000000" w:rsidRDefault="00000000" w:rsidRPr="00000000" w14:paraId="0000005E">
      <w:pPr>
        <w:spacing w:after="240" w:before="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Some SEC commentary and external frameworks that the SEC is engaging with distinguish </w:t>
      </w:r>
      <w:r w:rsidDel="00000000" w:rsidR="00000000" w:rsidRPr="00000000">
        <w:rPr>
          <w:rFonts w:ascii="Calibri" w:cs="Calibri" w:eastAsia="Calibri" w:hAnsi="Calibri"/>
          <w:b w:val="1"/>
          <w:bCs w:val="1"/>
          <w:shd w:fill="f5f5f5" w:val="clear"/>
          <w:rtl w:val="0"/>
        </w:rPr>
        <w:t xml:space="preserve">network tokens</w:t>
      </w:r>
      <w:r w:rsidDel="00000000" w:rsidR="00000000" w:rsidRPr="00000000">
        <w:rPr>
          <w:rFonts w:ascii="Calibri" w:cs="Calibri" w:eastAsia="Calibri" w:hAnsi="Calibri"/>
          <w:shd w:fill="f5f5f5" w:val="clear"/>
          <w:rtl w:val="0"/>
        </w:rPr>
        <w:t xml:space="preserve"> or </w:t>
      </w:r>
      <w:r w:rsidDel="00000000" w:rsidR="00000000" w:rsidRPr="00000000">
        <w:rPr>
          <w:rFonts w:ascii="Calibri" w:cs="Calibri" w:eastAsia="Calibri" w:hAnsi="Calibri"/>
          <w:b w:val="1"/>
          <w:bCs w:val="1"/>
          <w:shd w:fill="f5f5f5" w:val="clear"/>
          <w:rtl w:val="0"/>
        </w:rPr>
        <w:t xml:space="preserve">digital commodities</w:t>
      </w:r>
      <w:r w:rsidDel="00000000" w:rsidR="00000000" w:rsidRPr="00000000">
        <w:rPr>
          <w:rFonts w:ascii="Calibri" w:cs="Calibri" w:eastAsia="Calibri" w:hAnsi="Calibri"/>
          <w:shd w:fill="f5f5f5" w:val="clear"/>
          <w:rtl w:val="0"/>
        </w:rPr>
        <w:t xml:space="preserve"> where:aoshearman+2</w:t>
      </w:r>
    </w:p>
    <w:p w:rsidR="00000000" w:rsidDel="00000000" w:rsidP="00000000" w:rsidRDefault="00000000" w:rsidRPr="00000000" w14:paraId="0000005F">
      <w:pPr>
        <w:numPr>
          <w:ilvl w:val="0"/>
          <w:numId w:val="18"/>
        </w:numPr>
        <w:spacing w:after="0" w:afterAutospacing="0" w:before="24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The protocol is already functional and decentralized,</w:t>
        <w:br w:type="textWrapping"/>
      </w:r>
    </w:p>
    <w:p w:rsidR="00000000" w:rsidDel="00000000" w:rsidP="00000000" w:rsidRDefault="00000000" w:rsidRPr="00000000" w14:paraId="00000060">
      <w:pPr>
        <w:numPr>
          <w:ilvl w:val="0"/>
          <w:numId w:val="18"/>
        </w:numPr>
        <w:spacing w:after="0" w:afterAutospacing="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Token value primarily reflects network usage, throughput, or resource constraints, rather than managerial promises, and</w:t>
        <w:br w:type="textWrapping"/>
      </w:r>
    </w:p>
    <w:p w:rsidR="00000000" w:rsidDel="00000000" w:rsidP="00000000" w:rsidRDefault="00000000" w:rsidRPr="00000000" w14:paraId="00000061">
      <w:pPr>
        <w:numPr>
          <w:ilvl w:val="0"/>
          <w:numId w:val="18"/>
        </w:numPr>
        <w:spacing w:after="24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Marketing emphasizes utility (staking to secure the network, paying for gas, in‑protocol rights) rather than profit from the issuer’s efforts.</w:t>
        <w:br w:type="textWrapping"/>
      </w:r>
    </w:p>
    <w:p w:rsidR="00000000" w:rsidDel="00000000" w:rsidP="00000000" w:rsidRDefault="00000000" w:rsidRPr="00000000" w14:paraId="00000062">
      <w:pPr>
        <w:spacing w:after="240" w:before="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These frameworks suggest that, over time, a token first sold as part of a securities transaction could migrate toward “digital commodity/network token” status once sufficient decentralization and functional use are present, although this “morphing” concept is still fact‑specific and not firmly settled in enforcement practice.winston+2</w:t>
      </w:r>
    </w:p>
    <w:p w:rsidR="00000000" w:rsidDel="00000000" w:rsidP="00000000" w:rsidRDefault="00000000" w:rsidRPr="00000000" w14:paraId="00000063">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qvfdqru72fz0" w:id="5"/>
      <w:bookmarkEnd w:id="5"/>
      <w:r w:rsidDel="00000000" w:rsidR="00000000" w:rsidRPr="00000000">
        <w:rPr>
          <w:rFonts w:ascii="Calibri" w:cs="Calibri" w:eastAsia="Calibri" w:hAnsi="Calibri"/>
          <w:b w:val="1"/>
          <w:bCs w:val="1"/>
          <w:sz w:val="34"/>
          <w:szCs w:val="34"/>
          <w:shd w:fill="f5f5f5" w:val="clear"/>
          <w:rtl w:val="0"/>
        </w:rPr>
        <w:t xml:space="preserve">3. Digital Collectibles / NFTs (Context‑Dependent)</w:t>
      </w:r>
    </w:p>
    <w:p w:rsidR="00000000" w:rsidDel="00000000" w:rsidP="00000000" w:rsidRDefault="00000000" w:rsidRPr="00000000" w14:paraId="00000064">
      <w:pPr>
        <w:numPr>
          <w:ilvl w:val="0"/>
          <w:numId w:val="28"/>
        </w:numPr>
        <w:spacing w:after="0" w:afterAutospacing="0" w:before="24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Tokens designed primarily as collectibles (art, music, in‑game items) are increasingly acknowledged in SEC‑related commentary as </w:t>
      </w:r>
      <w:r w:rsidDel="00000000" w:rsidR="00000000" w:rsidRPr="00000000">
        <w:rPr>
          <w:rFonts w:ascii="Calibri" w:cs="Calibri" w:eastAsia="Calibri" w:hAnsi="Calibri"/>
          <w:b w:val="1"/>
          <w:bCs w:val="1"/>
          <w:shd w:fill="f5f5f5" w:val="clear"/>
          <w:rtl w:val="0"/>
        </w:rPr>
        <w:t xml:space="preserve">digital collectibles</w:t>
      </w:r>
      <w:r w:rsidDel="00000000" w:rsidR="00000000" w:rsidRPr="00000000">
        <w:rPr>
          <w:rFonts w:ascii="Calibri" w:cs="Calibri" w:eastAsia="Calibri" w:hAnsi="Calibri"/>
          <w:shd w:fill="f5f5f5" w:val="clear"/>
          <w:rtl w:val="0"/>
        </w:rPr>
        <w:t xml:space="preserve">, not securities, where buyers do not reasonably expect profits from managerial efforts.aoshearman+1</w:t>
        <w:br w:type="textWrapping"/>
      </w:r>
    </w:p>
    <w:p w:rsidR="00000000" w:rsidDel="00000000" w:rsidP="00000000" w:rsidRDefault="00000000" w:rsidRPr="00000000" w14:paraId="00000065">
      <w:pPr>
        <w:numPr>
          <w:ilvl w:val="0"/>
          <w:numId w:val="28"/>
        </w:numPr>
        <w:spacing w:after="24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However, the SEC has brought actions where NFT projects marketed tokens as investments in a broader business or profit‑sharing scheme, showing that any collectible can be pulled back under </w:t>
      </w:r>
      <w:r w:rsidDel="00000000" w:rsidR="00000000" w:rsidRPr="00000000">
        <w:rPr>
          <w:rFonts w:ascii="Calibri" w:cs="Calibri" w:eastAsia="Calibri" w:hAnsi="Calibri"/>
          <w:i w:val="1"/>
          <w:iCs w:val="1"/>
          <w:shd w:fill="f5f5f5" w:val="clear"/>
          <w:rtl w:val="0"/>
        </w:rPr>
        <w:t xml:space="preserve">Howey</w:t>
      </w:r>
      <w:r w:rsidDel="00000000" w:rsidR="00000000" w:rsidRPr="00000000">
        <w:rPr>
          <w:rFonts w:ascii="Calibri" w:cs="Calibri" w:eastAsia="Calibri" w:hAnsi="Calibri"/>
          <w:shd w:fill="f5f5f5" w:val="clear"/>
          <w:rtl w:val="0"/>
        </w:rPr>
        <w:t xml:space="preserve"> if promotional and economic realities look like an investment contract.fordhamlawreview+1</w:t>
        <w:br w:type="textWrapping"/>
      </w:r>
    </w:p>
    <w:p w:rsidR="00000000" w:rsidDel="00000000" w:rsidP="00000000" w:rsidRDefault="00000000" w:rsidRPr="00000000" w14:paraId="00000066">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4v5webz75sii" w:id="6"/>
      <w:bookmarkEnd w:id="6"/>
      <w:r w:rsidDel="00000000" w:rsidR="00000000" w:rsidRPr="00000000">
        <w:rPr>
          <w:rFonts w:ascii="Calibri" w:cs="Calibri" w:eastAsia="Calibri" w:hAnsi="Calibri"/>
          <w:b w:val="1"/>
          <w:bCs w:val="1"/>
          <w:sz w:val="34"/>
          <w:szCs w:val="34"/>
          <w:shd w:fill="f5f5f5" w:val="clear"/>
          <w:rtl w:val="0"/>
        </w:rPr>
        <w:t xml:space="preserve">4. Utility / Tool Tokens</w:t>
      </w:r>
    </w:p>
    <w:p w:rsidR="00000000" w:rsidDel="00000000" w:rsidP="00000000" w:rsidRDefault="00000000" w:rsidRPr="00000000" w14:paraId="00000067">
      <w:pPr>
        <w:numPr>
          <w:ilvl w:val="0"/>
          <w:numId w:val="64"/>
        </w:numPr>
        <w:spacing w:after="0" w:afterAutospacing="0" w:before="24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Some frameworks, including those discussed by SEC leadership, describe </w:t>
      </w:r>
      <w:r w:rsidDel="00000000" w:rsidR="00000000" w:rsidRPr="00000000">
        <w:rPr>
          <w:rFonts w:ascii="Calibri" w:cs="Calibri" w:eastAsia="Calibri" w:hAnsi="Calibri"/>
          <w:b w:val="1"/>
          <w:bCs w:val="1"/>
          <w:shd w:fill="f5f5f5" w:val="clear"/>
          <w:rtl w:val="0"/>
        </w:rPr>
        <w:t xml:space="preserve">digital tools</w:t>
      </w:r>
      <w:r w:rsidDel="00000000" w:rsidR="00000000" w:rsidRPr="00000000">
        <w:rPr>
          <w:rFonts w:ascii="Calibri" w:cs="Calibri" w:eastAsia="Calibri" w:hAnsi="Calibri"/>
          <w:shd w:fill="f5f5f5" w:val="clear"/>
          <w:rtl w:val="0"/>
        </w:rPr>
        <w:t xml:space="preserve">: tokens used for access, credentials, governance participation, or membership, where purchasers primarily seek functionality rather than profit.winston+1</w:t>
        <w:br w:type="textWrapping"/>
      </w:r>
    </w:p>
    <w:p w:rsidR="00000000" w:rsidDel="00000000" w:rsidP="00000000" w:rsidRDefault="00000000" w:rsidRPr="00000000" w14:paraId="00000068">
      <w:pPr>
        <w:numPr>
          <w:ilvl w:val="0"/>
          <w:numId w:val="64"/>
        </w:numPr>
        <w:spacing w:after="24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While the SEC has been skeptical of “utility token” labels, these categories indicate a growing recognition that functionality and absence of profit‑oriented marketing can weigh against securities status if borne out in actual use.jbba.scholasticahq+2</w:t>
        <w:br w:type="textWrapping"/>
      </w:r>
    </w:p>
    <w:p w:rsidR="00000000" w:rsidDel="00000000" w:rsidP="00000000" w:rsidRDefault="00000000" w:rsidRPr="00000000" w14:paraId="00000069">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ojb2ayk336a4" w:id="7"/>
      <w:bookmarkEnd w:id="7"/>
      <w:r w:rsidDel="00000000" w:rsidR="00000000" w:rsidRPr="00000000">
        <w:rPr>
          <w:rFonts w:ascii="Calibri" w:cs="Calibri" w:eastAsia="Calibri" w:hAnsi="Calibri"/>
          <w:b w:val="1"/>
          <w:bCs w:val="1"/>
          <w:sz w:val="34"/>
          <w:szCs w:val="34"/>
          <w:shd w:fill="f5f5f5" w:val="clear"/>
          <w:rtl w:val="0"/>
        </w:rPr>
        <w:t xml:space="preserve">5. Tokenized Traditional Securities</w:t>
      </w:r>
    </w:p>
    <w:p w:rsidR="00000000" w:rsidDel="00000000" w:rsidP="00000000" w:rsidRDefault="00000000" w:rsidRPr="00000000" w14:paraId="0000006A">
      <w:pPr>
        <w:numPr>
          <w:ilvl w:val="0"/>
          <w:numId w:val="61"/>
        </w:numPr>
        <w:spacing w:after="0" w:afterAutospacing="0" w:before="24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Where a token represents or mirrors traditional securities (equity, debt, revenue‑sharing, or interests in funds), the SEC and its staff clearly classify them as </w:t>
      </w:r>
      <w:r w:rsidDel="00000000" w:rsidR="00000000" w:rsidRPr="00000000">
        <w:rPr>
          <w:rFonts w:ascii="Calibri" w:cs="Calibri" w:eastAsia="Calibri" w:hAnsi="Calibri"/>
          <w:b w:val="1"/>
          <w:bCs w:val="1"/>
          <w:shd w:fill="f5f5f5" w:val="clear"/>
          <w:rtl w:val="0"/>
        </w:rPr>
        <w:t xml:space="preserve">tokenized securities</w:t>
      </w:r>
      <w:r w:rsidDel="00000000" w:rsidR="00000000" w:rsidRPr="00000000">
        <w:rPr>
          <w:rFonts w:ascii="Calibri" w:cs="Calibri" w:eastAsia="Calibri" w:hAnsi="Calibri"/>
          <w:shd w:fill="f5f5f5" w:val="clear"/>
          <w:rtl w:val="0"/>
        </w:rPr>
        <w:t xml:space="preserve">, fully subject to securities laws.clearygottlieb+1</w:t>
        <w:br w:type="textWrapping"/>
      </w:r>
    </w:p>
    <w:p w:rsidR="00000000" w:rsidDel="00000000" w:rsidP="00000000" w:rsidRDefault="00000000" w:rsidRPr="00000000" w14:paraId="0000006B">
      <w:pPr>
        <w:numPr>
          <w:ilvl w:val="0"/>
          <w:numId w:val="61"/>
        </w:numPr>
        <w:spacing w:after="24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Recent staff guidance even sub‑categorizes tokenized securities into models such as issuer‑sponsored versus third‑party tokenized instruments (e.g., custodial versus synthetic structures), signaling more granular supervisory patterns but not altering the core conclusion that these are securities.[</w:t>
      </w:r>
      <w:hyperlink r:id="rId14">
        <w:r w:rsidDel="00000000" w:rsidR="00000000" w:rsidRPr="00000000">
          <w:rPr>
            <w:rFonts w:ascii="Calibri" w:cs="Calibri" w:eastAsia="Calibri" w:hAnsi="Calibri"/>
            <w:color w:val="1155cc"/>
            <w:u w:val="single"/>
            <w:shd w:fill="f5f5f5" w:val="clear"/>
            <w:rtl w:val="0"/>
          </w:rPr>
          <w:t xml:space="preserve">clearygottlieb</w:t>
        </w:r>
      </w:hyperlink>
      <w:r w:rsidDel="00000000" w:rsidR="00000000" w:rsidRPr="00000000">
        <w:rPr>
          <w:rFonts w:ascii="Calibri" w:cs="Calibri" w:eastAsia="Calibri" w:hAnsi="Calibri"/>
          <w:shd w:fill="f5f5f5" w:val="clear"/>
          <w:rtl w:val="0"/>
        </w:rPr>
        <w:t xml:space="preserve">]​</w:t>
        <w:br w:type="textWrapping"/>
      </w:r>
    </w:p>
    <w:p w:rsidR="00000000" w:rsidDel="00000000" w:rsidP="00000000" w:rsidRDefault="00000000" w:rsidRPr="00000000" w14:paraId="0000006C">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xi2ywwyznm5m" w:id="8"/>
      <w:bookmarkEnd w:id="8"/>
      <w:r w:rsidDel="00000000" w:rsidR="00000000" w:rsidRPr="00000000">
        <w:rPr>
          <w:rFonts w:ascii="Calibri" w:cs="Calibri" w:eastAsia="Calibri" w:hAnsi="Calibri"/>
          <w:b w:val="1"/>
          <w:bCs w:val="1"/>
          <w:sz w:val="34"/>
          <w:szCs w:val="34"/>
          <w:shd w:fill="f5f5f5" w:val="clear"/>
          <w:rtl w:val="0"/>
        </w:rPr>
        <w:t xml:space="preserve">Patterns the “Knowledge Base” Would Identify</w:t>
      </w:r>
    </w:p>
    <w:p w:rsidR="00000000" w:rsidDel="00000000" w:rsidP="00000000" w:rsidRDefault="00000000" w:rsidRPr="00000000" w14:paraId="0000006D">
      <w:pPr>
        <w:spacing w:after="240" w:before="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A rule‑of‑thumb pattern from the accumulated enforcement and commentary is:</w:t>
      </w:r>
    </w:p>
    <w:p w:rsidR="00000000" w:rsidDel="00000000" w:rsidP="00000000" w:rsidRDefault="00000000" w:rsidRPr="00000000" w14:paraId="0000006E">
      <w:pPr>
        <w:numPr>
          <w:ilvl w:val="0"/>
          <w:numId w:val="16"/>
        </w:numPr>
        <w:spacing w:after="0" w:afterAutospacing="0" w:before="24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Tokens are </w:t>
      </w:r>
      <w:r w:rsidDel="00000000" w:rsidR="00000000" w:rsidRPr="00000000">
        <w:rPr>
          <w:rFonts w:ascii="Calibri" w:cs="Calibri" w:eastAsia="Calibri" w:hAnsi="Calibri"/>
          <w:b w:val="1"/>
          <w:bCs w:val="1"/>
          <w:shd w:fill="f5f5f5" w:val="clear"/>
          <w:rtl w:val="0"/>
        </w:rPr>
        <w:t xml:space="preserve">most likely securities</w:t>
      </w:r>
      <w:r w:rsidDel="00000000" w:rsidR="00000000" w:rsidRPr="00000000">
        <w:rPr>
          <w:rFonts w:ascii="Calibri" w:cs="Calibri" w:eastAsia="Calibri" w:hAnsi="Calibri"/>
          <w:shd w:fill="f5f5f5" w:val="clear"/>
          <w:rtl w:val="0"/>
        </w:rPr>
        <w:t xml:space="preserve"> when:</w:t>
        <w:br w:type="textWrapping"/>
      </w:r>
    </w:p>
    <w:p w:rsidR="00000000" w:rsidDel="00000000" w:rsidP="00000000" w:rsidRDefault="00000000" w:rsidRPr="00000000" w14:paraId="0000006F">
      <w:pPr>
        <w:numPr>
          <w:ilvl w:val="1"/>
          <w:numId w:val="16"/>
        </w:numPr>
        <w:spacing w:after="0" w:afterAutospacing="0" w:before="0" w:beforeAutospacing="0" w:line="259" w:lineRule="auto"/>
        <w:ind w:left="144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They are sold to raise capital for a business or protocol;</w:t>
        <w:br w:type="textWrapping"/>
      </w:r>
    </w:p>
    <w:p w:rsidR="00000000" w:rsidDel="00000000" w:rsidP="00000000" w:rsidRDefault="00000000" w:rsidRPr="00000000" w14:paraId="00000070">
      <w:pPr>
        <w:numPr>
          <w:ilvl w:val="1"/>
          <w:numId w:val="16"/>
        </w:numPr>
        <w:spacing w:after="0" w:afterAutospacing="0" w:before="0" w:beforeAutospacing="0" w:line="259" w:lineRule="auto"/>
        <w:ind w:left="144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Purchasers are told or led to expect profit primarily from the team’s efforts;</w:t>
        <w:br w:type="textWrapping"/>
      </w:r>
    </w:p>
    <w:p w:rsidR="00000000" w:rsidDel="00000000" w:rsidP="00000000" w:rsidRDefault="00000000" w:rsidRPr="00000000" w14:paraId="00000071">
      <w:pPr>
        <w:numPr>
          <w:ilvl w:val="1"/>
          <w:numId w:val="16"/>
        </w:numPr>
        <w:spacing w:after="0" w:afterAutospacing="0" w:before="0" w:beforeAutospacing="0" w:line="259" w:lineRule="auto"/>
        <w:ind w:left="144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The issuer retains significant centralized control and continues to drive value;</w:t>
        <w:br w:type="textWrapping"/>
      </w:r>
    </w:p>
    <w:p w:rsidR="00000000" w:rsidDel="00000000" w:rsidP="00000000" w:rsidRDefault="00000000" w:rsidRPr="00000000" w14:paraId="00000072">
      <w:pPr>
        <w:numPr>
          <w:ilvl w:val="1"/>
          <w:numId w:val="16"/>
        </w:numPr>
        <w:spacing w:after="0" w:afterAutospacing="0" w:before="0" w:beforeAutospacing="0" w:line="259" w:lineRule="auto"/>
        <w:ind w:left="144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There is strong emphasis on secondary market liquidity and speculative upside.web3.gate+2</w:t>
        <w:br w:type="textWrapping"/>
      </w:r>
    </w:p>
    <w:p w:rsidR="00000000" w:rsidDel="00000000" w:rsidP="00000000" w:rsidRDefault="00000000" w:rsidRPr="00000000" w14:paraId="00000073">
      <w:pPr>
        <w:numPr>
          <w:ilvl w:val="0"/>
          <w:numId w:val="16"/>
        </w:numPr>
        <w:spacing w:after="0" w:afterAutospacing="0" w:before="0" w:beforeAutospacing="0" w:line="259" w:lineRule="auto"/>
        <w:ind w:left="72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Tokens are </w:t>
      </w:r>
      <w:r w:rsidDel="00000000" w:rsidR="00000000" w:rsidRPr="00000000">
        <w:rPr>
          <w:rFonts w:ascii="Calibri" w:cs="Calibri" w:eastAsia="Calibri" w:hAnsi="Calibri"/>
          <w:b w:val="1"/>
          <w:bCs w:val="1"/>
          <w:shd w:fill="f5f5f5" w:val="clear"/>
          <w:rtl w:val="0"/>
        </w:rPr>
        <w:t xml:space="preserve">less likely securities</w:t>
      </w:r>
      <w:r w:rsidDel="00000000" w:rsidR="00000000" w:rsidRPr="00000000">
        <w:rPr>
          <w:rFonts w:ascii="Calibri" w:cs="Calibri" w:eastAsia="Calibri" w:hAnsi="Calibri"/>
          <w:shd w:fill="f5f5f5" w:val="clear"/>
          <w:rtl w:val="0"/>
        </w:rPr>
        <w:t xml:space="preserve"> when:</w:t>
        <w:br w:type="textWrapping"/>
      </w:r>
    </w:p>
    <w:p w:rsidR="00000000" w:rsidDel="00000000" w:rsidP="00000000" w:rsidRDefault="00000000" w:rsidRPr="00000000" w14:paraId="00000074">
      <w:pPr>
        <w:numPr>
          <w:ilvl w:val="1"/>
          <w:numId w:val="16"/>
        </w:numPr>
        <w:spacing w:after="0" w:afterAutospacing="0" w:before="0" w:beforeAutospacing="0" w:line="259" w:lineRule="auto"/>
        <w:ind w:left="144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The protocol is live and widely decentralized;</w:t>
        <w:br w:type="textWrapping"/>
      </w:r>
    </w:p>
    <w:p w:rsidR="00000000" w:rsidDel="00000000" w:rsidP="00000000" w:rsidRDefault="00000000" w:rsidRPr="00000000" w14:paraId="00000075">
      <w:pPr>
        <w:numPr>
          <w:ilvl w:val="1"/>
          <w:numId w:val="16"/>
        </w:numPr>
        <w:spacing w:after="0" w:afterAutospacing="0" w:before="0" w:beforeAutospacing="0" w:line="259" w:lineRule="auto"/>
        <w:ind w:left="144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The token’s main role is consumptive (access, gas, in‑app function, or pure collectibility);</w:t>
        <w:br w:type="textWrapping"/>
      </w:r>
    </w:p>
    <w:p w:rsidR="00000000" w:rsidDel="00000000" w:rsidP="00000000" w:rsidRDefault="00000000" w:rsidRPr="00000000" w14:paraId="00000076">
      <w:pPr>
        <w:numPr>
          <w:ilvl w:val="1"/>
          <w:numId w:val="16"/>
        </w:numPr>
        <w:spacing w:after="0" w:afterAutospacing="0" w:before="0" w:beforeAutospacing="0" w:line="259" w:lineRule="auto"/>
        <w:ind w:left="144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Marketing and actual usage do not focus on profits from the issuer’s efforts;</w:t>
        <w:br w:type="textWrapping"/>
      </w:r>
    </w:p>
    <w:p w:rsidR="00000000" w:rsidDel="00000000" w:rsidP="00000000" w:rsidRDefault="00000000" w:rsidRPr="00000000" w14:paraId="00000077">
      <w:pPr>
        <w:numPr>
          <w:ilvl w:val="1"/>
          <w:numId w:val="16"/>
        </w:numPr>
        <w:spacing w:after="240" w:before="0" w:beforeAutospacing="0" w:line="259" w:lineRule="auto"/>
        <w:ind w:left="1440" w:hanging="360"/>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The issuer’s role is minimal, standardized, or clearly non‑managerial.jbba.scholasticahq+3</w:t>
        <w:br w:type="textWrapping"/>
      </w:r>
    </w:p>
    <w:p w:rsidR="00000000" w:rsidDel="00000000" w:rsidP="00000000" w:rsidRDefault="00000000" w:rsidRPr="00000000" w14:paraId="00000078">
      <w:pPr>
        <w:spacing w:after="240" w:before="240" w:line="259" w:lineRule="auto"/>
        <w:jc w:val="both"/>
        <w:rPr>
          <w:rFonts w:ascii="Calibri" w:cs="Calibri" w:eastAsia="Calibri" w:hAnsi="Calibri"/>
          <w:shd w:fill="f5f5f5" w:val="clear"/>
        </w:rPr>
      </w:pPr>
      <w:r w:rsidDel="00000000" w:rsidR="00000000" w:rsidRPr="00000000">
        <w:rPr>
          <w:rFonts w:ascii="Calibri" w:cs="Calibri" w:eastAsia="Calibri" w:hAnsi="Calibri"/>
          <w:shd w:fill="f5f5f5" w:val="clear"/>
          <w:rtl w:val="0"/>
        </w:rPr>
        <w:t xml:space="preserve">An illustrative pattern: if a new token is issued in a fundraising round with a roadmap, heavy emphasis on team execution, and planned exchange listings, the Howey analysis that has prevailed in enforcement and leading cases would usually treat those sales as investment contracts, even if the same token might later trade in more commodity‑like fashion once the network matures.aoshearman+3</w:t>
      </w:r>
    </w:p>
    <w:p w:rsidR="00000000" w:rsidDel="00000000" w:rsidP="00000000" w:rsidRDefault="00000000" w:rsidRPr="00000000" w14:paraId="00000079">
      <w:pPr>
        <w:spacing w:after="240" w:before="240" w:line="259" w:lineRule="auto"/>
        <w:jc w:val="both"/>
        <w:rPr>
          <w:rFonts w:ascii="Calibri" w:cs="Calibri" w:eastAsia="Calibri" w:hAnsi="Calibri"/>
          <w:shd w:fill="f5f5f5" w:val="clear"/>
        </w:rPr>
      </w:pPr>
      <w:r w:rsidDel="00000000" w:rsidR="00000000" w:rsidRPr="00000000">
        <w:rPr>
          <w:rtl w:val="0"/>
        </w:rPr>
      </w:r>
    </w:p>
    <w:p w:rsidR="00000000" w:rsidDel="00000000" w:rsidP="00000000" w:rsidRDefault="00000000" w:rsidRPr="00000000" w14:paraId="0000007A">
      <w:pPr>
        <w:spacing w:after="240" w:before="240" w:line="259" w:lineRule="auto"/>
        <w:jc w:val="both"/>
        <w:rPr>
          <w:rFonts w:ascii="Calibri" w:cs="Calibri" w:eastAsia="Calibri" w:hAnsi="Calibri"/>
          <w:sz w:val="28"/>
          <w:szCs w:val="28"/>
          <w:shd w:fill="f5f5f5" w:val="clear"/>
        </w:rPr>
      </w:pPr>
      <w:hyperlink r:id="rId15">
        <w:r w:rsidDel="00000000" w:rsidR="00000000" w:rsidRPr="00000000">
          <w:rPr>
            <w:rFonts w:ascii="Calibri" w:cs="Calibri" w:eastAsia="Calibri" w:hAnsi="Calibri"/>
            <w:color w:val="1155cc"/>
            <w:sz w:val="28"/>
            <w:szCs w:val="28"/>
            <w:u w:val="single"/>
            <w:shd w:fill="f5f5f5" w:val="clear"/>
            <w:rtl w:val="0"/>
          </w:rPr>
          <w:t xml:space="preserve">Claude.Ai</w:t>
        </w:r>
      </w:hyperlink>
      <w:r w:rsidDel="00000000" w:rsidR="00000000" w:rsidRPr="00000000">
        <w:rPr>
          <w:rtl w:val="0"/>
        </w:rPr>
      </w:r>
    </w:p>
    <w:p w:rsidR="00000000" w:rsidDel="00000000" w:rsidP="00000000" w:rsidRDefault="00000000" w:rsidRPr="00000000" w14:paraId="0000007B">
      <w:pPr>
        <w:ind w:left="0" w:firstLine="0"/>
        <w:jc w:val="both"/>
        <w:rPr>
          <w:rFonts w:ascii="Calibri" w:cs="Calibri" w:eastAsia="Calibri" w:hAnsi="Calibri"/>
          <w:b w:val="1"/>
          <w:bCs w:val="1"/>
          <w:sz w:val="24"/>
          <w:szCs w:val="24"/>
          <w:shd w:fill="f5f5f5" w:val="clear"/>
        </w:rPr>
      </w:pPr>
      <w:r w:rsidDel="00000000" w:rsidR="00000000" w:rsidRPr="00000000">
        <w:rPr>
          <w:rFonts w:ascii="Calibri" w:cs="Calibri" w:eastAsia="Calibri" w:hAnsi="Calibri"/>
          <w:b w:val="1"/>
          <w:bCs w:val="1"/>
          <w:sz w:val="24"/>
          <w:szCs w:val="24"/>
          <w:rtl w:val="0"/>
        </w:rPr>
        <w:t xml:space="preserve">Question 1. How has the SEC’s interpretation of the </w:t>
      </w:r>
      <w:r w:rsidDel="00000000" w:rsidR="00000000" w:rsidRPr="00000000">
        <w:rPr>
          <w:rFonts w:ascii="Calibri" w:cs="Calibri" w:eastAsia="Calibri" w:hAnsi="Calibri"/>
          <w:b w:val="1"/>
          <w:bCs w:val="1"/>
          <w:sz w:val="24"/>
          <w:szCs w:val="24"/>
          <w:highlight w:val="yellow"/>
          <w:rtl w:val="0"/>
        </w:rPr>
        <w:t xml:space="preserve">Howey Test</w:t>
      </w:r>
      <w:r w:rsidDel="00000000" w:rsidR="00000000" w:rsidRPr="00000000">
        <w:rPr>
          <w:rFonts w:ascii="Calibri" w:cs="Calibri" w:eastAsia="Calibri" w:hAnsi="Calibri"/>
          <w:b w:val="1"/>
          <w:bCs w:val="1"/>
          <w:sz w:val="24"/>
          <w:szCs w:val="24"/>
          <w:rtl w:val="0"/>
        </w:rPr>
        <w:t xml:space="preserve"> evolved across enforcement cases related to crypto tokens, and what classification patterns can the knowledge base identify?</w:t>
      </w:r>
      <w:r w:rsidDel="00000000" w:rsidR="00000000" w:rsidRPr="00000000">
        <w:rPr>
          <w:rtl w:val="0"/>
        </w:rPr>
      </w:r>
    </w:p>
    <w:p w:rsidR="00000000" w:rsidDel="00000000" w:rsidP="00000000" w:rsidRDefault="00000000" w:rsidRPr="00000000" w14:paraId="0000007C">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Good question — and one where your knowledge base has genuine signal, but also real gaps worth naming. Let me synthesize what the roundtable record and prior CRI analytical work reveal, then flag where additional enforcement case data would sharpen the picture.</w:t>
      </w:r>
    </w:p>
    <w:p w:rsidR="00000000" w:rsidDel="00000000" w:rsidP="00000000" w:rsidRDefault="00000000" w:rsidRPr="00000000" w14:paraId="0000007D">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gzos2xetblzd" w:id="9"/>
      <w:bookmarkEnd w:id="9"/>
      <w:r w:rsidDel="00000000" w:rsidR="00000000" w:rsidRPr="00000000">
        <w:rPr>
          <w:rFonts w:ascii="Calibri" w:cs="Calibri" w:eastAsia="Calibri" w:hAnsi="Calibri"/>
          <w:b w:val="1"/>
          <w:bCs w:val="1"/>
          <w:sz w:val="34"/>
          <w:szCs w:val="34"/>
          <w:shd w:fill="f5f5f5" w:val="clear"/>
          <w:rtl w:val="0"/>
        </w:rPr>
        <w:t xml:space="preserve">Howey Test Interpretation: Evolution and Classification Patterns</w:t>
      </w:r>
    </w:p>
    <w:p w:rsidR="00000000" w:rsidDel="00000000" w:rsidP="00000000" w:rsidRDefault="00000000" w:rsidRPr="00000000" w14:paraId="0000007F">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pwc96txbeibl" w:id="10"/>
      <w:bookmarkEnd w:id="10"/>
      <w:r w:rsidDel="00000000" w:rsidR="00000000" w:rsidRPr="00000000">
        <w:rPr>
          <w:rFonts w:ascii="Calibri" w:cs="Calibri" w:eastAsia="Calibri" w:hAnsi="Calibri"/>
          <w:b w:val="1"/>
          <w:bCs w:val="1"/>
          <w:color w:val="000000"/>
          <w:sz w:val="26"/>
          <w:szCs w:val="26"/>
          <w:shd w:fill="f5f5f5" w:val="clear"/>
          <w:rtl w:val="0"/>
        </w:rPr>
        <w:t xml:space="preserve">The Core Interpretive Divide in the Roundtable Record</w:t>
      </w:r>
    </w:p>
    <w:p w:rsidR="00000000" w:rsidDel="00000000" w:rsidP="00000000" w:rsidRDefault="00000000" w:rsidRPr="00000000" w14:paraId="00000080">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roundtable exposed not a single evolving SEC interpretation, but </w:t>
      </w:r>
      <w:r w:rsidDel="00000000" w:rsidR="00000000" w:rsidRPr="00000000">
        <w:rPr>
          <w:rFonts w:ascii="Calibri" w:cs="Calibri" w:eastAsia="Calibri" w:hAnsi="Calibri"/>
          <w:b w:val="1"/>
          <w:bCs w:val="1"/>
          <w:sz w:val="28"/>
          <w:szCs w:val="28"/>
          <w:shd w:fill="f5f5f5" w:val="clear"/>
          <w:rtl w:val="0"/>
        </w:rPr>
        <w:t xml:space="preserve">two competing interpretive traditions</w:t>
      </w:r>
      <w:r w:rsidDel="00000000" w:rsidR="00000000" w:rsidRPr="00000000">
        <w:rPr>
          <w:rFonts w:ascii="Calibri" w:cs="Calibri" w:eastAsia="Calibri" w:hAnsi="Calibri"/>
          <w:sz w:val="28"/>
          <w:szCs w:val="28"/>
          <w:shd w:fill="f5f5f5" w:val="clear"/>
          <w:rtl w:val="0"/>
        </w:rPr>
        <w:t xml:space="preserve"> that have run in parallel across enforcement history:</w:t>
      </w:r>
    </w:p>
    <w:p w:rsidR="00000000" w:rsidDel="00000000" w:rsidP="00000000" w:rsidRDefault="00000000" w:rsidRPr="00000000" w14:paraId="00000081">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1. The Holistic / Economic Reality Approach</w:t>
      </w:r>
      <w:r w:rsidDel="00000000" w:rsidR="00000000" w:rsidRPr="00000000">
        <w:rPr>
          <w:rFonts w:ascii="Calibri" w:cs="Calibri" w:eastAsia="Calibri" w:hAnsi="Calibri"/>
          <w:sz w:val="28"/>
          <w:szCs w:val="28"/>
          <w:shd w:fill="f5f5f5" w:val="clear"/>
          <w:rtl w:val="0"/>
        </w:rPr>
        <w:t xml:space="preserve"> — championed by Stark and implicit in most SEC enforcement actions. Under this reading, courts and the SEC ask whether the </w:t>
      </w:r>
      <w:r w:rsidDel="00000000" w:rsidR="00000000" w:rsidRPr="00000000">
        <w:rPr>
          <w:rFonts w:ascii="Calibri" w:cs="Calibri" w:eastAsia="Calibri" w:hAnsi="Calibri"/>
          <w:i w:val="1"/>
          <w:iCs w:val="1"/>
          <w:sz w:val="28"/>
          <w:szCs w:val="28"/>
          <w:shd w:fill="f5f5f5" w:val="clear"/>
          <w:rtl w:val="0"/>
        </w:rPr>
        <w:t xml:space="preserve">economic substance</w:t>
      </w:r>
      <w:r w:rsidDel="00000000" w:rsidR="00000000" w:rsidRPr="00000000">
        <w:rPr>
          <w:rFonts w:ascii="Calibri" w:cs="Calibri" w:eastAsia="Calibri" w:hAnsi="Calibri"/>
          <w:sz w:val="28"/>
          <w:szCs w:val="28"/>
          <w:shd w:fill="f5f5f5" w:val="clear"/>
          <w:rtl w:val="0"/>
        </w:rPr>
        <w:t xml:space="preserve"> of a transaction resembles an investment scheme. Stark's position is that "people buying crypto are not collectors — they're investors," and the Howey prongs, read together, capture that reality. This approach explains why the SEC brought cases against Ripple, Terraform, and others without distinguishing secondary market transactions from the initial offering.</w:t>
      </w:r>
    </w:p>
    <w:p w:rsidR="00000000" w:rsidDel="00000000" w:rsidP="00000000" w:rsidRDefault="00000000" w:rsidRPr="00000000" w14:paraId="00000082">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2. The Disaggregated / Prong-by-Prong Approach</w:t>
      </w:r>
      <w:r w:rsidDel="00000000" w:rsidR="00000000" w:rsidRPr="00000000">
        <w:rPr>
          <w:rFonts w:ascii="Calibri" w:cs="Calibri" w:eastAsia="Calibri" w:hAnsi="Calibri"/>
          <w:sz w:val="28"/>
          <w:szCs w:val="28"/>
          <w:shd w:fill="f5f5f5" w:val="clear"/>
          <w:rtl w:val="0"/>
        </w:rPr>
        <w:t xml:space="preserve"> — advanced by Cohen, Jennings, Belton, Seira, and Goody Guillen. This reading requires that each Howey prong be independently satisfied and resists conflating "common interest in an asset's price" with "common enterprise." Cohen's DeBeers analogy is the clearest articulation: you can have an investment contract </w:t>
      </w:r>
      <w:r w:rsidDel="00000000" w:rsidR="00000000" w:rsidRPr="00000000">
        <w:rPr>
          <w:rFonts w:ascii="Calibri" w:cs="Calibri" w:eastAsia="Calibri" w:hAnsi="Calibri"/>
          <w:i w:val="1"/>
          <w:iCs w:val="1"/>
          <w:sz w:val="28"/>
          <w:szCs w:val="28"/>
          <w:shd w:fill="f5f5f5" w:val="clear"/>
          <w:rtl w:val="0"/>
        </w:rPr>
        <w:t xml:space="preserve">with</w:t>
      </w:r>
      <w:r w:rsidDel="00000000" w:rsidR="00000000" w:rsidRPr="00000000">
        <w:rPr>
          <w:rFonts w:ascii="Calibri" w:cs="Calibri" w:eastAsia="Calibri" w:hAnsi="Calibri"/>
          <w:sz w:val="28"/>
          <w:szCs w:val="28"/>
          <w:shd w:fill="f5f5f5" w:val="clear"/>
          <w:rtl w:val="0"/>
        </w:rPr>
        <w:t xml:space="preserve"> a diamond producer without diamonds themselves becoming securities.</w:t>
      </w:r>
    </w:p>
    <w:p w:rsidR="00000000" w:rsidDel="00000000" w:rsidP="00000000" w:rsidRDefault="00000000" w:rsidRPr="00000000" w14:paraId="00000083">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enforcement record through 2024 largely reflects the first approach. The </w:t>
      </w:r>
      <w:r w:rsidDel="00000000" w:rsidR="00000000" w:rsidRPr="00000000">
        <w:rPr>
          <w:rFonts w:ascii="Calibri" w:cs="Calibri" w:eastAsia="Calibri" w:hAnsi="Calibri"/>
          <w:i w:val="1"/>
          <w:iCs w:val="1"/>
          <w:sz w:val="28"/>
          <w:szCs w:val="28"/>
          <w:shd w:fill="f5f5f5" w:val="clear"/>
          <w:rtl w:val="0"/>
        </w:rPr>
        <w:t xml:space="preserve">Ripple</w:t>
      </w:r>
      <w:r w:rsidDel="00000000" w:rsidR="00000000" w:rsidRPr="00000000">
        <w:rPr>
          <w:rFonts w:ascii="Calibri" w:cs="Calibri" w:eastAsia="Calibri" w:hAnsi="Calibri"/>
          <w:sz w:val="28"/>
          <w:szCs w:val="28"/>
          <w:shd w:fill="f5f5f5" w:val="clear"/>
          <w:rtl w:val="0"/>
        </w:rPr>
        <w:t xml:space="preserve"> district court decision in 2023 was the first significant judicial endorsement of the second — finding that secondary market XRP sales to retail buyers did not satisfy the third prong ("efforts of others") because retail purchasers lacked the informational link to Ripple's development activity.</w:t>
      </w:r>
    </w:p>
    <w:p w:rsidR="00000000" w:rsidDel="00000000" w:rsidP="00000000" w:rsidRDefault="00000000" w:rsidRPr="00000000" w14:paraId="00000084">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ozcd75fvpaay" w:id="11"/>
      <w:bookmarkEnd w:id="11"/>
      <w:r w:rsidDel="00000000" w:rsidR="00000000" w:rsidRPr="00000000">
        <w:rPr>
          <w:rFonts w:ascii="Calibri" w:cs="Calibri" w:eastAsia="Calibri" w:hAnsi="Calibri"/>
          <w:b w:val="1"/>
          <w:bCs w:val="1"/>
          <w:color w:val="000000"/>
          <w:sz w:val="26"/>
          <w:szCs w:val="26"/>
          <w:shd w:fill="f5f5f5" w:val="clear"/>
          <w:rtl w:val="0"/>
        </w:rPr>
        <w:t xml:space="preserve">Classification Patterns the Knowledge Base Can Identify</w:t>
      </w:r>
    </w:p>
    <w:p w:rsidR="00000000" w:rsidDel="00000000" w:rsidP="00000000" w:rsidRDefault="00000000" w:rsidRPr="00000000" w14:paraId="00000086">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Based on the roundtable analysis and the prior use case work on a Token Classification Decision Tool, three classification patterns emerge:</w:t>
      </w:r>
    </w:p>
    <w:p w:rsidR="00000000" w:rsidDel="00000000" w:rsidP="00000000" w:rsidRDefault="00000000" w:rsidRPr="00000000" w14:paraId="00000087">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Pattern 1: Issuance-Stage vs. Secondary Market Divergence</w:t>
      </w:r>
    </w:p>
    <w:p w:rsidR="00000000" w:rsidDel="00000000" w:rsidP="00000000" w:rsidRDefault="00000000" w:rsidRPr="00000000" w14:paraId="00000088">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roundtable participants across both camps acknowledged that the SEC's enforcement theories have been stronger at the issuance stage (SAFTs, ICOs, token sales to investors) than in secondary markets. Belton noted that many projects actually tried to comply via Reg D after SAFTs — suggesting the industry internalized securities treatment at issuance while resisting it for subsequent trading. The </w:t>
      </w:r>
      <w:r w:rsidDel="00000000" w:rsidR="00000000" w:rsidRPr="00000000">
        <w:rPr>
          <w:rFonts w:ascii="Calibri" w:cs="Calibri" w:eastAsia="Calibri" w:hAnsi="Calibri"/>
          <w:i w:val="1"/>
          <w:iCs w:val="1"/>
          <w:sz w:val="28"/>
          <w:szCs w:val="28"/>
          <w:shd w:fill="f5f5f5" w:val="clear"/>
          <w:rtl w:val="0"/>
        </w:rPr>
        <w:t xml:space="preserve">Ripple</w:t>
      </w:r>
      <w:r w:rsidDel="00000000" w:rsidR="00000000" w:rsidRPr="00000000">
        <w:rPr>
          <w:rFonts w:ascii="Calibri" w:cs="Calibri" w:eastAsia="Calibri" w:hAnsi="Calibri"/>
          <w:sz w:val="28"/>
          <w:szCs w:val="28"/>
          <w:shd w:fill="f5f5f5" w:val="clear"/>
          <w:rtl w:val="0"/>
        </w:rPr>
        <w:t xml:space="preserve"> ruling formalized this split. The classification implication: </w:t>
      </w:r>
      <w:r w:rsidDel="00000000" w:rsidR="00000000" w:rsidRPr="00000000">
        <w:rPr>
          <w:rFonts w:ascii="Calibri" w:cs="Calibri" w:eastAsia="Calibri" w:hAnsi="Calibri"/>
          <w:b w:val="1"/>
          <w:bCs w:val="1"/>
          <w:sz w:val="28"/>
          <w:szCs w:val="28"/>
          <w:shd w:fill="f5f5f5" w:val="clear"/>
          <w:rtl w:val="0"/>
        </w:rPr>
        <w:t xml:space="preserve">issuance = higher securities risk; secondary market = increasingly contested, fact-dependent</w:t>
      </w:r>
      <w:r w:rsidDel="00000000" w:rsidR="00000000" w:rsidRPr="00000000">
        <w:rPr>
          <w:rFonts w:ascii="Calibri" w:cs="Calibri" w:eastAsia="Calibri" w:hAnsi="Calibri"/>
          <w:sz w:val="28"/>
          <w:szCs w:val="28"/>
          <w:shd w:fill="f5f5f5" w:val="clear"/>
          <w:rtl w:val="0"/>
        </w:rPr>
        <w:t xml:space="preserve">.</w:t>
      </w:r>
    </w:p>
    <w:p w:rsidR="00000000" w:rsidDel="00000000" w:rsidP="00000000" w:rsidRDefault="00000000" w:rsidRPr="00000000" w14:paraId="00000089">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Pattern 2: Decentralization as a Threshold Variable</w:t>
      </w:r>
    </w:p>
    <w:p w:rsidR="00000000" w:rsidDel="00000000" w:rsidP="00000000" w:rsidRDefault="00000000" w:rsidRPr="00000000" w14:paraId="0000008A">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Seira's argument about the Clayton-era Ethereum statement — that "efforts of others" were dissipated once the network became sufficiently decentralized — identifies the most important classification variable the roundtable surfaced. Jennings proposed "control" as the unifying principle: when smart contracts are autonomous and no party can extract value through unilateral action, the trust dependencies that securities law addresses (information asymmetry, agency problems) are structurally absent. The enforcement record supports this directionally — the SEC has not brought cases against Bitcoin or Ethereum since the 2018 Ethereum statement, while pursuing projects with active development teams and value-accrual mechanisms controlled by insiders.</w:t>
      </w:r>
    </w:p>
    <w:p w:rsidR="00000000" w:rsidDel="00000000" w:rsidP="00000000" w:rsidRDefault="00000000" w:rsidRPr="00000000" w14:paraId="0000008B">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Pattern 3: Fee Switches and Active Value Accrual as Red Flags</w:t>
      </w:r>
    </w:p>
    <w:p w:rsidR="00000000" w:rsidDel="00000000" w:rsidP="00000000" w:rsidRDefault="00000000" w:rsidRPr="00000000" w14:paraId="0000008C">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Seira's identification of the "fee switch" discussion is a specific, high-signal pattern your knowledge base can track. Projects that have not activated fee distribution to token holders exist in a gray zone; projects that activate it — creating a direct financial return to holders from protocol revenues — move substantially toward the "expectation of profits from efforts of others" prong. This is where the DeFi classification frontier currently sits, and it's unresolved in the enforcement record.</w:t>
      </w:r>
    </w:p>
    <w:p w:rsidR="00000000" w:rsidDel="00000000" w:rsidP="00000000" w:rsidRDefault="00000000" w:rsidRPr="00000000" w14:paraId="0000008D">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rbl4q5uywiev" w:id="12"/>
      <w:bookmarkEnd w:id="12"/>
      <w:r w:rsidDel="00000000" w:rsidR="00000000" w:rsidRPr="00000000">
        <w:rPr>
          <w:rFonts w:ascii="Calibri" w:cs="Calibri" w:eastAsia="Calibri" w:hAnsi="Calibri"/>
          <w:b w:val="1"/>
          <w:bCs w:val="1"/>
          <w:color w:val="000000"/>
          <w:sz w:val="26"/>
          <w:szCs w:val="26"/>
          <w:shd w:fill="f5f5f5" w:val="clear"/>
          <w:rtl w:val="0"/>
        </w:rPr>
        <w:t xml:space="preserve">What the Knowledge Base Cannot Yet Answer</w:t>
      </w:r>
    </w:p>
    <w:p w:rsidR="00000000" w:rsidDel="00000000" w:rsidP="00000000" w:rsidRDefault="00000000" w:rsidRPr="00000000" w14:paraId="0000008F">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Your roundtable data alone has a structural limitation here: it captures </w:t>
      </w:r>
      <w:r w:rsidDel="00000000" w:rsidR="00000000" w:rsidRPr="00000000">
        <w:rPr>
          <w:rFonts w:ascii="Calibri" w:cs="Calibri" w:eastAsia="Calibri" w:hAnsi="Calibri"/>
          <w:b w:val="1"/>
          <w:bCs w:val="1"/>
          <w:sz w:val="28"/>
          <w:szCs w:val="28"/>
          <w:shd w:fill="f5f5f5" w:val="clear"/>
          <w:rtl w:val="0"/>
        </w:rPr>
        <w:t xml:space="preserve">advocacy positions and doctrinal arguments</w:t>
      </w:r>
      <w:r w:rsidDel="00000000" w:rsidR="00000000" w:rsidRPr="00000000">
        <w:rPr>
          <w:rFonts w:ascii="Calibri" w:cs="Calibri" w:eastAsia="Calibri" w:hAnsi="Calibri"/>
          <w:sz w:val="28"/>
          <w:szCs w:val="28"/>
          <w:shd w:fill="f5f5f5" w:val="clear"/>
          <w:rtl w:val="0"/>
        </w:rPr>
        <w:t xml:space="preserve">, not the actual enforcement case record. To build a true Howey evolution map, CRI would need to layer in:</w:t>
      </w:r>
    </w:p>
    <w:p w:rsidR="00000000" w:rsidDel="00000000" w:rsidP="00000000" w:rsidRDefault="00000000" w:rsidRPr="00000000" w14:paraId="00000090">
      <w:pPr>
        <w:numPr>
          <w:ilvl w:val="0"/>
          <w:numId w:val="46"/>
        </w:numPr>
        <w:spacing w:after="0" w:afterAutospacing="0" w:before="240" w:line="259" w:lineRule="auto"/>
        <w:ind w:left="720" w:hanging="360"/>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enforcement-to-guidance pipeline analysis (Use Case 4 from prior work) tracking which theories succeeded in court vs. were settled or abandoned</w:t>
      </w:r>
    </w:p>
    <w:p w:rsidR="00000000" w:rsidDel="00000000" w:rsidP="00000000" w:rsidRDefault="00000000" w:rsidRPr="00000000" w14:paraId="00000091">
      <w:pPr>
        <w:numPr>
          <w:ilvl w:val="0"/>
          <w:numId w:val="46"/>
        </w:numPr>
        <w:spacing w:after="0" w:afterAutospacing="0" w:before="0" w:beforeAutospacing="0" w:line="259" w:lineRule="auto"/>
        <w:ind w:left="720" w:hanging="360"/>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Case-level data from </w:t>
      </w:r>
      <w:r w:rsidDel="00000000" w:rsidR="00000000" w:rsidRPr="00000000">
        <w:rPr>
          <w:rFonts w:ascii="Calibri" w:cs="Calibri" w:eastAsia="Calibri" w:hAnsi="Calibri"/>
          <w:i w:val="1"/>
          <w:iCs w:val="1"/>
          <w:sz w:val="28"/>
          <w:szCs w:val="28"/>
          <w:shd w:fill="f5f5f5" w:val="clear"/>
          <w:rtl w:val="0"/>
        </w:rPr>
        <w:t xml:space="preserve">Telegram</w:t>
      </w:r>
      <w:r w:rsidDel="00000000" w:rsidR="00000000" w:rsidRPr="00000000">
        <w:rPr>
          <w:rFonts w:ascii="Calibri" w:cs="Calibri" w:eastAsia="Calibri" w:hAnsi="Calibri"/>
          <w:sz w:val="28"/>
          <w:szCs w:val="28"/>
          <w:shd w:fill="f5f5f5" w:val="clear"/>
          <w:rtl w:val="0"/>
        </w:rPr>
        <w:t xml:space="preserve">, </w:t>
      </w:r>
      <w:r w:rsidDel="00000000" w:rsidR="00000000" w:rsidRPr="00000000">
        <w:rPr>
          <w:rFonts w:ascii="Calibri" w:cs="Calibri" w:eastAsia="Calibri" w:hAnsi="Calibri"/>
          <w:i w:val="1"/>
          <w:iCs w:val="1"/>
          <w:sz w:val="28"/>
          <w:szCs w:val="28"/>
          <w:shd w:fill="f5f5f5" w:val="clear"/>
          <w:rtl w:val="0"/>
        </w:rPr>
        <w:t xml:space="preserve">Ripple</w:t>
      </w:r>
      <w:r w:rsidDel="00000000" w:rsidR="00000000" w:rsidRPr="00000000">
        <w:rPr>
          <w:rFonts w:ascii="Calibri" w:cs="Calibri" w:eastAsia="Calibri" w:hAnsi="Calibri"/>
          <w:sz w:val="28"/>
          <w:szCs w:val="28"/>
          <w:shd w:fill="f5f5f5" w:val="clear"/>
          <w:rtl w:val="0"/>
        </w:rPr>
        <w:t xml:space="preserve">, </w:t>
      </w:r>
      <w:r w:rsidDel="00000000" w:rsidR="00000000" w:rsidRPr="00000000">
        <w:rPr>
          <w:rFonts w:ascii="Calibri" w:cs="Calibri" w:eastAsia="Calibri" w:hAnsi="Calibri"/>
          <w:i w:val="1"/>
          <w:iCs w:val="1"/>
          <w:sz w:val="28"/>
          <w:szCs w:val="28"/>
          <w:shd w:fill="f5f5f5" w:val="clear"/>
          <w:rtl w:val="0"/>
        </w:rPr>
        <w:t xml:space="preserve">Terraform</w:t>
      </w:r>
      <w:r w:rsidDel="00000000" w:rsidR="00000000" w:rsidRPr="00000000">
        <w:rPr>
          <w:rFonts w:ascii="Calibri" w:cs="Calibri" w:eastAsia="Calibri" w:hAnsi="Calibri"/>
          <w:sz w:val="28"/>
          <w:szCs w:val="28"/>
          <w:shd w:fill="f5f5f5" w:val="clear"/>
          <w:rtl w:val="0"/>
        </w:rPr>
        <w:t xml:space="preserve">, </w:t>
      </w:r>
      <w:r w:rsidDel="00000000" w:rsidR="00000000" w:rsidRPr="00000000">
        <w:rPr>
          <w:rFonts w:ascii="Calibri" w:cs="Calibri" w:eastAsia="Calibri" w:hAnsi="Calibri"/>
          <w:i w:val="1"/>
          <w:iCs w:val="1"/>
          <w:sz w:val="28"/>
          <w:szCs w:val="28"/>
          <w:shd w:fill="f5f5f5" w:val="clear"/>
          <w:rtl w:val="0"/>
        </w:rPr>
        <w:t xml:space="preserve">Coinbase</w:t>
      </w:r>
      <w:r w:rsidDel="00000000" w:rsidR="00000000" w:rsidRPr="00000000">
        <w:rPr>
          <w:rFonts w:ascii="Calibri" w:cs="Calibri" w:eastAsia="Calibri" w:hAnsi="Calibri"/>
          <w:sz w:val="28"/>
          <w:szCs w:val="28"/>
          <w:shd w:fill="f5f5f5" w:val="clear"/>
          <w:rtl w:val="0"/>
        </w:rPr>
        <w:t xml:space="preserve">, </w:t>
      </w:r>
      <w:r w:rsidDel="00000000" w:rsidR="00000000" w:rsidRPr="00000000">
        <w:rPr>
          <w:rFonts w:ascii="Calibri" w:cs="Calibri" w:eastAsia="Calibri" w:hAnsi="Calibri"/>
          <w:i w:val="1"/>
          <w:iCs w:val="1"/>
          <w:sz w:val="28"/>
          <w:szCs w:val="28"/>
          <w:shd w:fill="f5f5f5" w:val="clear"/>
          <w:rtl w:val="0"/>
        </w:rPr>
        <w:t xml:space="preserve">Binance</w:t>
      </w:r>
      <w:r w:rsidDel="00000000" w:rsidR="00000000" w:rsidRPr="00000000">
        <w:rPr>
          <w:rFonts w:ascii="Calibri" w:cs="Calibri" w:eastAsia="Calibri" w:hAnsi="Calibri"/>
          <w:sz w:val="28"/>
          <w:szCs w:val="28"/>
          <w:shd w:fill="f5f5f5" w:val="clear"/>
          <w:rtl w:val="0"/>
        </w:rPr>
        <w:t xml:space="preserve">, and the staking cases (</w:t>
      </w:r>
      <w:r w:rsidDel="00000000" w:rsidR="00000000" w:rsidRPr="00000000">
        <w:rPr>
          <w:rFonts w:ascii="Calibri" w:cs="Calibri" w:eastAsia="Calibri" w:hAnsi="Calibri"/>
          <w:i w:val="1"/>
          <w:iCs w:val="1"/>
          <w:sz w:val="28"/>
          <w:szCs w:val="28"/>
          <w:shd w:fill="f5f5f5" w:val="clear"/>
          <w:rtl w:val="0"/>
        </w:rPr>
        <w:t xml:space="preserve">Kraken</w:t>
      </w:r>
      <w:r w:rsidDel="00000000" w:rsidR="00000000" w:rsidRPr="00000000">
        <w:rPr>
          <w:rFonts w:ascii="Calibri" w:cs="Calibri" w:eastAsia="Calibri" w:hAnsi="Calibri"/>
          <w:sz w:val="28"/>
          <w:szCs w:val="28"/>
          <w:shd w:fill="f5f5f5" w:val="clear"/>
          <w:rtl w:val="0"/>
        </w:rPr>
        <w:t xml:space="preserve">)</w:t>
      </w:r>
    </w:p>
    <w:p w:rsidR="00000000" w:rsidDel="00000000" w:rsidP="00000000" w:rsidRDefault="00000000" w:rsidRPr="00000000" w14:paraId="00000092">
      <w:pPr>
        <w:numPr>
          <w:ilvl w:val="0"/>
          <w:numId w:val="46"/>
        </w:numPr>
        <w:spacing w:after="240" w:before="0" w:beforeAutospacing="0" w:line="259" w:lineRule="auto"/>
        <w:ind w:left="720" w:hanging="360"/>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no-action letters (TurnKey Jet, Pocketful of Quarters) as the positive-case baseline for what the SEC </w:t>
      </w:r>
      <w:r w:rsidDel="00000000" w:rsidR="00000000" w:rsidRPr="00000000">
        <w:rPr>
          <w:rFonts w:ascii="Calibri" w:cs="Calibri" w:eastAsia="Calibri" w:hAnsi="Calibri"/>
          <w:i w:val="1"/>
          <w:iCs w:val="1"/>
          <w:sz w:val="28"/>
          <w:szCs w:val="28"/>
          <w:shd w:fill="f5f5f5" w:val="clear"/>
          <w:rtl w:val="0"/>
        </w:rPr>
        <w:t xml:space="preserve">accepted</w:t>
      </w:r>
      <w:r w:rsidDel="00000000" w:rsidR="00000000" w:rsidRPr="00000000">
        <w:rPr>
          <w:rFonts w:ascii="Calibri" w:cs="Calibri" w:eastAsia="Calibri" w:hAnsi="Calibri"/>
          <w:sz w:val="28"/>
          <w:szCs w:val="28"/>
          <w:shd w:fill="f5f5f5" w:val="clear"/>
          <w:rtl w:val="0"/>
        </w:rPr>
        <w:t xml:space="preserve"> as non-securities</w:t>
      </w:r>
    </w:p>
    <w:p w:rsidR="00000000" w:rsidDel="00000000" w:rsidP="00000000" w:rsidRDefault="00000000" w:rsidRPr="00000000" w14:paraId="00000093">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roundtable record is strongest as the </w:t>
      </w:r>
      <w:r w:rsidDel="00000000" w:rsidR="00000000" w:rsidRPr="00000000">
        <w:rPr>
          <w:rFonts w:ascii="Calibri" w:cs="Calibri" w:eastAsia="Calibri" w:hAnsi="Calibri"/>
          <w:b w:val="1"/>
          <w:bCs w:val="1"/>
          <w:sz w:val="28"/>
          <w:szCs w:val="28"/>
          <w:shd w:fill="f5f5f5" w:val="clear"/>
          <w:rtl w:val="0"/>
        </w:rPr>
        <w:t xml:space="preserve">interpretive layer</w:t>
      </w:r>
      <w:r w:rsidDel="00000000" w:rsidR="00000000" w:rsidRPr="00000000">
        <w:rPr>
          <w:rFonts w:ascii="Calibri" w:cs="Calibri" w:eastAsia="Calibri" w:hAnsi="Calibri"/>
          <w:sz w:val="28"/>
          <w:szCs w:val="28"/>
          <w:shd w:fill="f5f5f5" w:val="clear"/>
          <w:rtl w:val="0"/>
        </w:rPr>
        <w:t xml:space="preserve"> — it shows you where the doctrinal fault lines are, which arguments have traction, and who is making them. But the classification patterns need enforcement case spine underneath them to be defensible intelligence products.</w:t>
      </w:r>
    </w:p>
    <w:p w:rsidR="00000000" w:rsidDel="00000000" w:rsidP="00000000" w:rsidRDefault="00000000" w:rsidRPr="00000000" w14:paraId="00000094">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4nsgoyh2mtao" w:id="13"/>
      <w:bookmarkEnd w:id="13"/>
      <w:r w:rsidDel="00000000" w:rsidR="00000000" w:rsidRPr="00000000">
        <w:rPr>
          <w:rFonts w:ascii="Calibri" w:cs="Calibri" w:eastAsia="Calibri" w:hAnsi="Calibri"/>
          <w:b w:val="1"/>
          <w:bCs w:val="1"/>
          <w:color w:val="000000"/>
          <w:sz w:val="26"/>
          <w:szCs w:val="26"/>
          <w:shd w:fill="f5f5f5" w:val="clear"/>
          <w:rtl w:val="0"/>
        </w:rPr>
        <w:t xml:space="preserve">Implication for CRI's Intelligence Products</w:t>
      </w:r>
    </w:p>
    <w:p w:rsidR="00000000" w:rsidDel="00000000" w:rsidP="00000000" w:rsidRDefault="00000000" w:rsidRPr="00000000" w14:paraId="00000096">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most immediately defensible product your knowledge base supports right now is a </w:t>
      </w:r>
      <w:r w:rsidDel="00000000" w:rsidR="00000000" w:rsidRPr="00000000">
        <w:rPr>
          <w:rFonts w:ascii="Calibri" w:cs="Calibri" w:eastAsia="Calibri" w:hAnsi="Calibri"/>
          <w:b w:val="1"/>
          <w:bCs w:val="1"/>
          <w:sz w:val="28"/>
          <w:szCs w:val="28"/>
          <w:shd w:fill="f5f5f5" w:val="clear"/>
          <w:rtl w:val="0"/>
        </w:rPr>
        <w:t xml:space="preserve">Howey Prong-by-Prong Position Map</w:t>
      </w:r>
      <w:r w:rsidDel="00000000" w:rsidR="00000000" w:rsidRPr="00000000">
        <w:rPr>
          <w:rFonts w:ascii="Calibri" w:cs="Calibri" w:eastAsia="Calibri" w:hAnsi="Calibri"/>
          <w:sz w:val="28"/>
          <w:szCs w:val="28"/>
          <w:shd w:fill="f5f5f5" w:val="clear"/>
          <w:rtl w:val="0"/>
        </w:rPr>
        <w:t xml:space="preserve"> — showing, for each of the four prongs, which roundtable participants take which interpretive positions, cross-referenced with the enforcement cases where each prong was contested. That's a product your academic interest group would value and that compliance teams would use directly. Want me to draft that as a structured output?</w:t>
      </w:r>
    </w:p>
    <w:p w:rsidR="00000000" w:rsidDel="00000000" w:rsidP="00000000" w:rsidRDefault="00000000" w:rsidRPr="00000000" w14:paraId="00000097">
      <w:pPr>
        <w:spacing w:after="240" w:before="240" w:line="259" w:lineRule="auto"/>
        <w:jc w:val="both"/>
        <w:rPr>
          <w:rFonts w:ascii="Calibri" w:cs="Calibri" w:eastAsia="Calibri" w:hAnsi="Calibri"/>
          <w:sz w:val="28"/>
          <w:szCs w:val="28"/>
          <w:shd w:fill="f5f5f5" w:val="clear"/>
        </w:rPr>
      </w:pPr>
      <w:r w:rsidDel="00000000" w:rsidR="00000000" w:rsidRPr="00000000">
        <w:rPr>
          <w:rtl w:val="0"/>
        </w:rPr>
      </w:r>
    </w:p>
    <w:p w:rsidR="00000000" w:rsidDel="00000000" w:rsidP="00000000" w:rsidRDefault="00000000" w:rsidRPr="00000000" w14:paraId="00000098">
      <w:pPr>
        <w:spacing w:after="240" w:before="240" w:line="259" w:lineRule="auto"/>
        <w:jc w:val="both"/>
        <w:rPr>
          <w:rFonts w:ascii="Calibri" w:cs="Calibri" w:eastAsia="Calibri" w:hAnsi="Calibri"/>
          <w:b w:val="1"/>
          <w:bCs w:val="1"/>
          <w:sz w:val="28"/>
          <w:szCs w:val="28"/>
          <w:highlight w:val="green"/>
        </w:rPr>
      </w:pPr>
      <w:r w:rsidDel="00000000" w:rsidR="00000000" w:rsidRPr="00000000">
        <w:rPr>
          <w:rFonts w:ascii="Calibri" w:cs="Calibri" w:eastAsia="Calibri" w:hAnsi="Calibri"/>
          <w:b w:val="1"/>
          <w:bCs w:val="1"/>
          <w:sz w:val="28"/>
          <w:szCs w:val="28"/>
          <w:highlight w:val="green"/>
          <w:rtl w:val="0"/>
        </w:rPr>
        <w:t xml:space="preserve">Question 2: How does the SEC’s current regulatory framework compare with the EU’s MiCA regime in terms of market authorization, investor protection, and stablecoin oversight?</w:t>
      </w:r>
    </w:p>
    <w:p w:rsidR="00000000" w:rsidDel="00000000" w:rsidP="00000000" w:rsidRDefault="00000000" w:rsidRPr="00000000" w14:paraId="00000099">
      <w:pPr>
        <w:spacing w:after="240" w:before="240" w:line="259" w:lineRule="auto"/>
        <w:jc w:val="both"/>
        <w:rPr>
          <w:rFonts w:ascii="Calibri" w:cs="Calibri" w:eastAsia="Calibri" w:hAnsi="Calibri"/>
          <w:b w:val="1"/>
          <w:bCs w:val="1"/>
          <w:sz w:val="28"/>
          <w:szCs w:val="28"/>
          <w:highlight w:val="green"/>
        </w:rPr>
      </w:pPr>
      <w:r w:rsidDel="00000000" w:rsidR="00000000" w:rsidRPr="00000000">
        <w:rPr>
          <w:rFonts w:ascii="Calibri" w:cs="Calibri" w:eastAsia="Calibri" w:hAnsi="Calibri"/>
          <w:b w:val="1"/>
          <w:bCs w:val="1"/>
          <w:sz w:val="28"/>
          <w:szCs w:val="28"/>
          <w:highlight w:val="green"/>
          <w:rtl w:val="0"/>
        </w:rPr>
        <w:t xml:space="preserve">CRI:</w:t>
      </w:r>
    </w:p>
    <w:p w:rsidR="00000000" w:rsidDel="00000000" w:rsidP="00000000" w:rsidRDefault="00000000" w:rsidRPr="00000000" w14:paraId="0000009A">
      <w:pPr>
        <w:spacing w:after="240" w:before="240" w:line="259" w:lineRule="auto"/>
        <w:jc w:val="both"/>
        <w:rPr>
          <w:sz w:val="28"/>
          <w:szCs w:val="28"/>
          <w:shd w:fill="f5f5f5" w:val="clear"/>
        </w:rPr>
      </w:pPr>
      <w:r w:rsidDel="00000000" w:rsidR="00000000" w:rsidRPr="00000000">
        <w:rPr>
          <w:sz w:val="28"/>
          <w:szCs w:val="28"/>
          <w:shd w:fill="f5f5f5" w:val="clear"/>
          <w:rtl w:val="0"/>
        </w:rPr>
        <w:t xml:space="preserve">Short answer (high level) - The SEC currently regulates crypto primarily through existing U.S. securities laws (Howey, Exchange Act, Investment Advisers/Companies Acts, broker‑dealer/custody rules) plus enforcement and staff guidance — a functional, case-by-case and enforcement-driven regime that leaves significant open questions and no single, EU‑style authorization regime. (See SEC Crypto Task Force and staff statements.) - MiCA (EU Markets in Crypto‑Assets Regulation) is a purpose‑built, comprehensive EU‑wide rulebook (adopted 2023, largely applicable Dec 2024) that creates clear pre‑market authorization, uniform disclosure/whitepaper rules, prudential and governance requirements for certain tokens, and a dedicated, detailed stablecoin regime (ARTs and EMTs) with explicit reserve, custody and redemption rules.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Below I compare them on the three items you asked about, with evidence (relevance scores and supporting snippets).</w:t>
      </w:r>
    </w:p>
    <w:p w:rsidR="00000000" w:rsidDel="00000000" w:rsidP="00000000" w:rsidRDefault="00000000" w:rsidRPr="00000000" w14:paraId="0000009C">
      <w:pPr>
        <w:numPr>
          <w:ilvl w:val="0"/>
          <w:numId w:val="44"/>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af9f9" w:val="clear"/>
        </w:rPr>
      </w:pPr>
      <w:r w:rsidDel="00000000" w:rsidR="00000000" w:rsidRPr="00000000">
        <w:rPr>
          <w:sz w:val="28"/>
          <w:szCs w:val="28"/>
          <w:shd w:fill="faf9f9" w:val="clear"/>
          <w:rtl w:val="0"/>
        </w:rPr>
        <w:t xml:space="preserve">Market authorization (who must be authorized and how)</w:t>
      </w:r>
    </w:p>
    <w:p w:rsidR="00000000" w:rsidDel="00000000" w:rsidP="00000000" w:rsidRDefault="00000000" w:rsidRPr="00000000" w14:paraId="0000009D">
      <w:pPr>
        <w:numPr>
          <w:ilvl w:val="0"/>
          <w:numId w:val="84"/>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af9f9" w:val="clear"/>
        </w:rPr>
      </w:pPr>
      <w:r w:rsidDel="00000000" w:rsidR="00000000" w:rsidRPr="00000000">
        <w:rPr>
          <w:sz w:val="28"/>
          <w:szCs w:val="28"/>
          <w:shd w:fill="faf9f9" w:val="clear"/>
          <w:rtl w:val="0"/>
        </w:rPr>
        <w:t xml:space="preserve">SEC (U.S.)</w:t>
      </w:r>
    </w:p>
    <w:p w:rsidR="00000000" w:rsidDel="00000000" w:rsidP="00000000" w:rsidRDefault="00000000" w:rsidRPr="00000000" w14:paraId="0000009E">
      <w:pPr>
        <w:numPr>
          <w:ilvl w:val="1"/>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Key features: no single crypto licensing statute; SEC applies existing securities statutes (registration, broker‑dealer rules, transfer agent/clearing agency rules) and uses enforcement, no‑action/exemptive processes and staff statements to address gaps. The SEC Crypto Task Force is exploring registration pathways but much remains in development.</w:t>
      </w:r>
    </w:p>
    <w:p w:rsidR="00000000" w:rsidDel="00000000" w:rsidP="00000000" w:rsidRDefault="00000000" w:rsidRPr="00000000" w14:paraId="0000009F">
      <w:pPr>
        <w:numPr>
          <w:ilvl w:val="1"/>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w:t>
      </w:r>
    </w:p>
    <w:p w:rsidR="00000000" w:rsidDel="00000000" w:rsidP="00000000" w:rsidRDefault="00000000" w:rsidRPr="00000000" w14:paraId="000000A0">
      <w:pPr>
        <w:numPr>
          <w:ilvl w:val="2"/>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SEC speech (“The Journey Begins”) — Relevance 14.28</w:t>
      </w:r>
    </w:p>
    <w:p w:rsidR="00000000" w:rsidDel="00000000" w:rsidP="00000000" w:rsidRDefault="00000000" w:rsidRPr="00000000" w14:paraId="000000A1">
      <w:pPr>
        <w:numPr>
          <w:ilvl w:val="3"/>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3920" w:hanging="360"/>
        <w:rPr>
          <w:color w:val="000000"/>
          <w:sz w:val="28"/>
          <w:szCs w:val="28"/>
          <w:shd w:fill="f5f5f5" w:val="clear"/>
        </w:rPr>
      </w:pPr>
      <w:r w:rsidDel="00000000" w:rsidR="00000000" w:rsidRPr="00000000">
        <w:rPr>
          <w:sz w:val="28"/>
          <w:szCs w:val="28"/>
          <w:shd w:fill="f5f5f5" w:val="clear"/>
          <w:rtl w:val="0"/>
        </w:rPr>
        <w:t xml:space="preserve">Snippet: “The Task Force will consider working with staff to recommend that the Commission modify existing paths to registration, including Regulation A and crowdfunding, so that people interested in registering token offerings will have a viable path for doing so… The staff welcomes requests for no‑action letters.” (</w:t>
      </w:r>
      <w:hyperlink r:id="rId16">
        <w:r w:rsidDel="00000000" w:rsidR="00000000" w:rsidRPr="00000000">
          <w:rPr>
            <w:sz w:val="28"/>
            <w:szCs w:val="28"/>
            <w:u w:val="single"/>
            <w:shd w:fill="f5f5f5" w:val="clear"/>
            <w:rtl w:val="0"/>
          </w:rPr>
          <w:t xml:space="preserve">https://www.sec.gov/newsroom/speeches-statements/peirce-journey-begins-020425</w:t>
        </w:r>
      </w:hyperlink>
      <w:r w:rsidDel="00000000" w:rsidR="00000000" w:rsidRPr="00000000">
        <w:rPr>
          <w:sz w:val="28"/>
          <w:szCs w:val="28"/>
          <w:shd w:fill="f5f5f5" w:val="clear"/>
          <w:rtl w:val="0"/>
        </w:rPr>
        <w:t xml:space="preserve">)</w:t>
      </w:r>
    </w:p>
    <w:p w:rsidR="00000000" w:rsidDel="00000000" w:rsidP="00000000" w:rsidRDefault="00000000" w:rsidRPr="00000000" w14:paraId="000000A2">
      <w:pPr>
        <w:numPr>
          <w:ilvl w:val="2"/>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SEC site summary (Crypto@SEC) — Relevance 9.07</w:t>
      </w:r>
    </w:p>
    <w:p w:rsidR="00000000" w:rsidDel="00000000" w:rsidP="00000000" w:rsidRDefault="00000000" w:rsidRPr="00000000" w14:paraId="000000A3">
      <w:pPr>
        <w:numPr>
          <w:ilvl w:val="3"/>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3920" w:hanging="360"/>
        <w:rPr>
          <w:color w:val="000000"/>
          <w:sz w:val="28"/>
          <w:szCs w:val="28"/>
          <w:shd w:fill="f5f5f5" w:val="clear"/>
        </w:rPr>
      </w:pPr>
      <w:r w:rsidDel="00000000" w:rsidR="00000000" w:rsidRPr="00000000">
        <w:rPr>
          <w:sz w:val="28"/>
          <w:szCs w:val="28"/>
          <w:shd w:fill="f5f5f5" w:val="clear"/>
          <w:rtl w:val="0"/>
        </w:rPr>
        <w:t xml:space="preserve">Snippet: “The Commission staff is working hard to process applications for exemptive relief, requests for no‑action letters, and registration statements, but an uptick in the volume is likely to prove challenging.” (</w:t>
      </w:r>
      <w:hyperlink r:id="rId17">
        <w:r w:rsidDel="00000000" w:rsidR="00000000" w:rsidRPr="00000000">
          <w:rPr>
            <w:sz w:val="28"/>
            <w:szCs w:val="28"/>
            <w:u w:val="single"/>
            <w:shd w:fill="f5f5f5" w:val="clear"/>
            <w:rtl w:val="0"/>
          </w:rPr>
          <w:t xml:space="preserve">https://www.sec.gov/newsroom/speeches-statements/peirce-journey-begins-020425</w:t>
        </w:r>
      </w:hyperlink>
      <w:r w:rsidDel="00000000" w:rsidR="00000000" w:rsidRPr="00000000">
        <w:rPr>
          <w:sz w:val="28"/>
          <w:szCs w:val="28"/>
          <w:shd w:fill="f5f5f5" w:val="clear"/>
          <w:rtl w:val="0"/>
        </w:rPr>
        <w:t xml:space="preserve">)</w:t>
      </w:r>
    </w:p>
    <w:p w:rsidR="00000000" w:rsidDel="00000000" w:rsidP="00000000" w:rsidRDefault="00000000" w:rsidRPr="00000000" w14:paraId="000000A4">
      <w:pPr>
        <w:numPr>
          <w:ilvl w:val="1"/>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Practical effect: market participants must map token features to existing securities/other laws; exchanges or platforms dealing in assets the SEC treats as securities may need to register or operate through registered intermediaries. That creates legal uncertainty and case‑by‑case adjudication.</w:t>
      </w:r>
    </w:p>
    <w:p w:rsidR="00000000" w:rsidDel="00000000" w:rsidP="00000000" w:rsidRDefault="00000000" w:rsidRPr="00000000" w14:paraId="000000A5">
      <w:pPr>
        <w:numPr>
          <w:ilvl w:val="0"/>
          <w:numId w:val="84"/>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MiCA (EU)</w:t>
      </w:r>
    </w:p>
    <w:p w:rsidR="00000000" w:rsidDel="00000000" w:rsidP="00000000" w:rsidRDefault="00000000" w:rsidRPr="00000000" w14:paraId="000000A6">
      <w:pPr>
        <w:numPr>
          <w:ilvl w:val="1"/>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Key features: a dedicated, uniform authorization regime for crypto‑asset service providers (CASPs) and for certain token types; token issuers must publish EU‑standardized whitepapers; specific authorization required for issuers of asset‑referenced tokens (ARTs) and electronic money tokens (EMTs). MiCA sets explicit prudential, governance and disclosure obligations.</w:t>
      </w:r>
    </w:p>
    <w:p w:rsidR="00000000" w:rsidDel="00000000" w:rsidP="00000000" w:rsidRDefault="00000000" w:rsidRPr="00000000" w14:paraId="000000A7">
      <w:pPr>
        <w:numPr>
          <w:ilvl w:val="1"/>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w:t>
      </w:r>
    </w:p>
    <w:p w:rsidR="00000000" w:rsidDel="00000000" w:rsidP="00000000" w:rsidRDefault="00000000" w:rsidRPr="00000000" w14:paraId="000000A8">
      <w:pPr>
        <w:numPr>
          <w:ilvl w:val="2"/>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Ethena Labs memo summarizing MiCA — Relevance 17.92</w:t>
      </w:r>
    </w:p>
    <w:p w:rsidR="00000000" w:rsidDel="00000000" w:rsidP="00000000" w:rsidRDefault="00000000" w:rsidRPr="00000000" w14:paraId="000000A9">
      <w:pPr>
        <w:numPr>
          <w:ilvl w:val="3"/>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3920" w:hanging="360"/>
        <w:rPr>
          <w:color w:val="000000"/>
          <w:sz w:val="28"/>
          <w:szCs w:val="28"/>
          <w:shd w:fill="f5f5f5" w:val="clear"/>
        </w:rPr>
      </w:pPr>
      <w:r w:rsidDel="00000000" w:rsidR="00000000" w:rsidRPr="00000000">
        <w:rPr>
          <w:sz w:val="28"/>
          <w:szCs w:val="28"/>
          <w:shd w:fill="f5f5f5" w:val="clear"/>
          <w:rtl w:val="0"/>
        </w:rPr>
        <w:t xml:space="preserve">Snippet: “MiCA… establishes a comprehensive regulatory framework for crypto‑assets, including a specific regime for stablecoins. Under MiCA, stablecoins and other stable value tokens fall into two distinct categories: asset‑referenced tokens (‘ARTs’) and electronic money tokens (‘EMTs’). … Issuers of ARTs must obtain prior authorization from a competent EU authority.” (</w:t>
      </w:r>
      <w:hyperlink r:id="rId18">
        <w:r w:rsidDel="00000000" w:rsidR="00000000" w:rsidRPr="00000000">
          <w:rPr>
            <w:sz w:val="28"/>
            <w:szCs w:val="28"/>
            <w:u w:val="single"/>
            <w:shd w:fill="f5f5f5" w:val="clear"/>
            <w:rtl w:val="0"/>
          </w:rPr>
          <w:t xml:space="preserve">https://www.sec.gov/files/ctf-memo-ethena-labs-s-morrison-cohen-llp-070125.pdf</w:t>
        </w:r>
      </w:hyperlink>
      <w:r w:rsidDel="00000000" w:rsidR="00000000" w:rsidRPr="00000000">
        <w:rPr>
          <w:sz w:val="28"/>
          <w:szCs w:val="28"/>
          <w:shd w:fill="f5f5f5" w:val="clear"/>
          <w:rtl w:val="0"/>
        </w:rPr>
        <w:t xml:space="preserve">)</w:t>
      </w:r>
    </w:p>
    <w:p w:rsidR="00000000" w:rsidDel="00000000" w:rsidP="00000000" w:rsidRDefault="00000000" w:rsidRPr="00000000" w14:paraId="000000AA">
      <w:pPr>
        <w:numPr>
          <w:ilvl w:val="1"/>
          <w:numId w:val="8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Practical effect: applicants follow a predictable pre‑approval path and standardized disclosures across EU member states; uncertainty is lower for market entry (though some market participants report compliance frictions in practice).</w:t>
      </w:r>
    </w:p>
    <w:p w:rsidR="00000000" w:rsidDel="00000000" w:rsidP="00000000" w:rsidRDefault="00000000" w:rsidRPr="00000000" w14:paraId="000000AB">
      <w:pPr>
        <w:numPr>
          <w:ilvl w:val="0"/>
          <w:numId w:val="4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Investor protection (disclosure, governance, custody, redress)</w:t>
      </w:r>
    </w:p>
    <w:p w:rsidR="00000000" w:rsidDel="00000000" w:rsidP="00000000" w:rsidRDefault="00000000" w:rsidRPr="00000000" w14:paraId="000000AC">
      <w:pPr>
        <w:numPr>
          <w:ilvl w:val="0"/>
          <w:numId w:val="37"/>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SEC (U.S.)</w:t>
      </w:r>
    </w:p>
    <w:p w:rsidR="00000000" w:rsidDel="00000000" w:rsidP="00000000" w:rsidRDefault="00000000" w:rsidRPr="00000000" w14:paraId="000000AD">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Key features: investor protection derives from established securities disclosure regimes, anti‑fraud enforcement, custody rules for registered entities, and staff guidance. SEC emphasizes anti‑fraud and traditional investor protections but has notable gaps for non‑securities crypto and for cross‑cutting rules (custody, settlement) until new rules/exemptions are adopted.</w:t>
      </w:r>
    </w:p>
    <w:p w:rsidR="00000000" w:rsidDel="00000000" w:rsidP="00000000" w:rsidRDefault="00000000" w:rsidRPr="00000000" w14:paraId="000000AE">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w:t>
      </w:r>
    </w:p>
    <w:p w:rsidR="00000000" w:rsidDel="00000000" w:rsidP="00000000" w:rsidRDefault="00000000" w:rsidRPr="00000000" w14:paraId="000000AF">
      <w:pPr>
        <w:numPr>
          <w:ilvl w:val="2"/>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“The Journey Begins” (SEC Crypto Task Force) — Relevance 14.28</w:t>
      </w:r>
    </w:p>
    <w:p w:rsidR="00000000" w:rsidDel="00000000" w:rsidP="00000000" w:rsidRDefault="00000000" w:rsidRPr="00000000" w14:paraId="000000B0">
      <w:pPr>
        <w:numPr>
          <w:ilvl w:val="3"/>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3920" w:hanging="360"/>
        <w:rPr>
          <w:color w:val="000000"/>
          <w:sz w:val="28"/>
          <w:szCs w:val="28"/>
          <w:shd w:fill="f5f5f5" w:val="clear"/>
        </w:rPr>
      </w:pPr>
      <w:r w:rsidDel="00000000" w:rsidR="00000000" w:rsidRPr="00000000">
        <w:rPr>
          <w:sz w:val="28"/>
          <w:szCs w:val="28"/>
          <w:shd w:fill="f5f5f5" w:val="clear"/>
          <w:rtl w:val="0"/>
        </w:rPr>
        <w:t xml:space="preserve">Snippet: “The Task Force wants to travel to a destination where people have great freedom to experiment and build interesting things, and which will not be a haven for fraudsters… we have rules designed to protect investors and the integrity of the marketplace, and we enforce those rules.” (</w:t>
      </w:r>
      <w:hyperlink r:id="rId19">
        <w:r w:rsidDel="00000000" w:rsidR="00000000" w:rsidRPr="00000000">
          <w:rPr>
            <w:sz w:val="28"/>
            <w:szCs w:val="28"/>
            <w:u w:val="single"/>
            <w:shd w:fill="f5f5f5" w:val="clear"/>
            <w:rtl w:val="0"/>
          </w:rPr>
          <w:t xml:space="preserve">https://www.sec.gov/newsroom/speeches-statements/peirce-journey-begins-020425</w:t>
        </w:r>
      </w:hyperlink>
      <w:r w:rsidDel="00000000" w:rsidR="00000000" w:rsidRPr="00000000">
        <w:rPr>
          <w:sz w:val="28"/>
          <w:szCs w:val="28"/>
          <w:shd w:fill="f5f5f5" w:val="clear"/>
          <w:rtl w:val="0"/>
        </w:rPr>
        <w:t xml:space="preserve">)</w:t>
      </w:r>
    </w:p>
    <w:p w:rsidR="00000000" w:rsidDel="00000000" w:rsidP="00000000" w:rsidRDefault="00000000" w:rsidRPr="00000000" w14:paraId="000000B1">
      <w:pPr>
        <w:numPr>
          <w:ilvl w:val="2"/>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SEC staff statements page (Crypto@SEC) summarizing staff initiatives (SAB 122, meme coins, stablecoins) — Relevance 9.07</w:t>
      </w:r>
    </w:p>
    <w:p w:rsidR="00000000" w:rsidDel="00000000" w:rsidP="00000000" w:rsidRDefault="00000000" w:rsidRPr="00000000" w14:paraId="000000B2">
      <w:pPr>
        <w:numPr>
          <w:ilvl w:val="3"/>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3920" w:hanging="360"/>
        <w:rPr>
          <w:color w:val="000000"/>
          <w:sz w:val="28"/>
          <w:szCs w:val="28"/>
          <w:shd w:fill="f5f5f5" w:val="clear"/>
        </w:rPr>
      </w:pPr>
      <w:r w:rsidDel="00000000" w:rsidR="00000000" w:rsidRPr="00000000">
        <w:rPr>
          <w:sz w:val="28"/>
          <w:szCs w:val="28"/>
          <w:shd w:fill="f5f5f5" w:val="clear"/>
          <w:rtl w:val="0"/>
        </w:rPr>
        <w:t xml:space="preserve">Snippet: “Staff statements represent the views of the staff… Division of Corporation Finance, Staff Statement on Stablecoins… Staff Accounting Bulletin No. 122 rescinds SAB 121…” (</w:t>
      </w:r>
      <w:hyperlink r:id="rId20">
        <w:r w:rsidDel="00000000" w:rsidR="00000000" w:rsidRPr="00000000">
          <w:rPr>
            <w:sz w:val="28"/>
            <w:szCs w:val="28"/>
            <w:u w:val="single"/>
            <w:shd w:fill="f5f5f5" w:val="clear"/>
            <w:rtl w:val="0"/>
          </w:rPr>
          <w:t xml:space="preserve">https://www.sec.gov/enforcement-litigation/whistleblower-program</w:t>
        </w:r>
      </w:hyperlink>
      <w:r w:rsidDel="00000000" w:rsidR="00000000" w:rsidRPr="00000000">
        <w:rPr>
          <w:sz w:val="28"/>
          <w:szCs w:val="28"/>
          <w:shd w:fill="f5f5f5" w:val="clear"/>
          <w:rtl w:val="0"/>
        </w:rPr>
        <w:t xml:space="preserve">)</w:t>
      </w:r>
    </w:p>
    <w:p w:rsidR="00000000" w:rsidDel="00000000" w:rsidP="00000000" w:rsidRDefault="00000000" w:rsidRPr="00000000" w14:paraId="000000B3">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Practical effect: strong protections where securities law applies (disclosure, fiduciary duties for advisers, enforcement remedies), but market actors complain about legal uncertainty for many tokens and for custody/settlement practices.</w:t>
      </w:r>
    </w:p>
    <w:p w:rsidR="00000000" w:rsidDel="00000000" w:rsidP="00000000" w:rsidRDefault="00000000" w:rsidRPr="00000000" w14:paraId="000000B4">
      <w:pPr>
        <w:numPr>
          <w:ilvl w:val="0"/>
          <w:numId w:val="37"/>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MiCA (EU)</w:t>
      </w:r>
    </w:p>
    <w:p w:rsidR="00000000" w:rsidDel="00000000" w:rsidP="00000000" w:rsidRDefault="00000000" w:rsidRPr="00000000" w14:paraId="000000B5">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Key features: prescriptive investor protections built into the regime: mandatory whitepapers with standardized disclosures, governance and operational requirements for CASPs and issuers, capital and governance safeguards, AML/CFT alignment, custody and segregation rules, redemption rights for certain stable tokens. MiCA aims to protect retail investors explicitly across the EU.</w:t>
      </w:r>
    </w:p>
    <w:p w:rsidR="00000000" w:rsidDel="00000000" w:rsidP="00000000" w:rsidRDefault="00000000" w:rsidRPr="00000000" w14:paraId="000000B6">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w:t>
      </w:r>
    </w:p>
    <w:p w:rsidR="00000000" w:rsidDel="00000000" w:rsidP="00000000" w:rsidRDefault="00000000" w:rsidRPr="00000000" w14:paraId="000000B7">
      <w:pPr>
        <w:numPr>
          <w:ilvl w:val="2"/>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Ethena Labs memo — Relevance 17.92</w:t>
      </w:r>
    </w:p>
    <w:p w:rsidR="00000000" w:rsidDel="00000000" w:rsidP="00000000" w:rsidRDefault="00000000" w:rsidRPr="00000000" w14:paraId="000000B8">
      <w:pPr>
        <w:numPr>
          <w:ilvl w:val="3"/>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3920" w:hanging="360"/>
        <w:rPr>
          <w:color w:val="000000"/>
          <w:sz w:val="28"/>
          <w:szCs w:val="28"/>
          <w:shd w:fill="f5f5f5" w:val="clear"/>
        </w:rPr>
      </w:pPr>
      <w:r w:rsidDel="00000000" w:rsidR="00000000" w:rsidRPr="00000000">
        <w:rPr>
          <w:sz w:val="28"/>
          <w:szCs w:val="28"/>
          <w:shd w:fill="f5f5f5" w:val="clear"/>
          <w:rtl w:val="0"/>
        </w:rPr>
        <w:t xml:space="preserve">Snippet: “ARTs are subject to a standalone regulatory regime under MiCA: Issuers of ARTs must obtain prior authorization… are bound by stringent obligations around reserve composition and custody, white paper disclosures, governance, and redemption rights.” (</w:t>
      </w:r>
      <w:hyperlink r:id="rId21">
        <w:r w:rsidDel="00000000" w:rsidR="00000000" w:rsidRPr="00000000">
          <w:rPr>
            <w:sz w:val="28"/>
            <w:szCs w:val="28"/>
            <w:u w:val="single"/>
            <w:shd w:fill="f5f5f5" w:val="clear"/>
            <w:rtl w:val="0"/>
          </w:rPr>
          <w:t xml:space="preserve">https://www.sec.gov/files/ctf-memo-ethena-labs-s-morrison-cohen-llp-070125.pdf</w:t>
        </w:r>
      </w:hyperlink>
      <w:r w:rsidDel="00000000" w:rsidR="00000000" w:rsidRPr="00000000">
        <w:rPr>
          <w:sz w:val="28"/>
          <w:szCs w:val="28"/>
          <w:shd w:fill="f5f5f5" w:val="clear"/>
          <w:rtl w:val="0"/>
        </w:rPr>
        <w:t xml:space="preserve">)</w:t>
      </w:r>
    </w:p>
    <w:p w:rsidR="00000000" w:rsidDel="00000000" w:rsidP="00000000" w:rsidRDefault="00000000" w:rsidRPr="00000000" w14:paraId="000000B9">
      <w:pPr>
        <w:numPr>
          <w:ilvl w:val="2"/>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Antonio Lanotte commentary — Relevance 19.29</w:t>
      </w:r>
    </w:p>
    <w:p w:rsidR="00000000" w:rsidDel="00000000" w:rsidP="00000000" w:rsidRDefault="00000000" w:rsidRPr="00000000" w14:paraId="000000BA">
      <w:pPr>
        <w:numPr>
          <w:ilvl w:val="3"/>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3920" w:hanging="360"/>
        <w:rPr>
          <w:color w:val="000000"/>
          <w:sz w:val="28"/>
          <w:szCs w:val="28"/>
          <w:shd w:fill="f5f5f5" w:val="clear"/>
        </w:rPr>
      </w:pPr>
      <w:r w:rsidDel="00000000" w:rsidR="00000000" w:rsidRPr="00000000">
        <w:rPr>
          <w:sz w:val="28"/>
          <w:szCs w:val="28"/>
          <w:shd w:fill="f5f5f5" w:val="clear"/>
          <w:rtl w:val="0"/>
        </w:rPr>
        <w:t xml:space="preserve">Snippet: “MiCA introduces specific rules for stablecoins, requiring issuers to meet capital and governance requirements and comply with AML, custody, and operational rules… The detailed implementation roadmap, risk management procedures, and governance structures ensure responsible innovation while preserving investor protection.” (</w:t>
      </w:r>
      <w:hyperlink r:id="rId22">
        <w:r w:rsidDel="00000000" w:rsidR="00000000" w:rsidRPr="00000000">
          <w:rPr>
            <w:sz w:val="28"/>
            <w:szCs w:val="28"/>
            <w:u w:val="single"/>
            <w:shd w:fill="f5f5f5" w:val="clear"/>
            <w:rtl w:val="0"/>
          </w:rPr>
          <w:t xml:space="preserve">https://www.sec.gov/files/ctf-written-antonio-lanotte-global-blockchain-business-council-051425.pdf</w:t>
        </w:r>
      </w:hyperlink>
      <w:r w:rsidDel="00000000" w:rsidR="00000000" w:rsidRPr="00000000">
        <w:rPr>
          <w:sz w:val="28"/>
          <w:szCs w:val="28"/>
          <w:shd w:fill="f5f5f5" w:val="clear"/>
          <w:rtl w:val="0"/>
        </w:rPr>
        <w:t xml:space="preserve">)</w:t>
      </w:r>
    </w:p>
    <w:p w:rsidR="00000000" w:rsidDel="00000000" w:rsidP="00000000" w:rsidRDefault="00000000" w:rsidRPr="00000000" w14:paraId="000000BB">
      <w:pPr>
        <w:numPr>
          <w:ilvl w:val="1"/>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Practical effect: more standardized retail protections (whitepapers, reserve/custody standards, redemption mechanics), and clearer cross‑border investor rights within the EU.</w:t>
      </w:r>
    </w:p>
    <w:p w:rsidR="00000000" w:rsidDel="00000000" w:rsidP="00000000" w:rsidRDefault="00000000" w:rsidRPr="00000000" w14:paraId="000000BC">
      <w:pPr>
        <w:numPr>
          <w:ilvl w:val="0"/>
          <w:numId w:val="27"/>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Stablecoin oversight (classification, reserves, redemption, prudential rules)</w:t>
      </w:r>
    </w:p>
    <w:p w:rsidR="00000000" w:rsidDel="00000000" w:rsidP="00000000" w:rsidRDefault="00000000" w:rsidRPr="00000000" w14:paraId="000000BD">
      <w:pPr>
        <w:numPr>
          <w:ilvl w:val="0"/>
          <w:numId w:val="1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SEC (U.S.)</w:t>
      </w:r>
    </w:p>
    <w:p w:rsidR="00000000" w:rsidDel="00000000" w:rsidP="00000000" w:rsidRDefault="00000000" w:rsidRPr="00000000" w14:paraId="000000BE">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Key features: in April 2025 the Division of Corporation Finance issued a Staff Statement on certain USD‑pegged, redeemable, reserve‑backed stablecoins (“Covered Stablecoins”) describing factors the staff considers (redemption mechanics, reserve composition, liquidity, potential securities law implications). But the SEC has not created a single federal stablecoin statute — oversight is fragmented across SEC, banking agencies, state regulators and possible Congress proposals.</w:t>
      </w:r>
    </w:p>
    <w:p w:rsidR="00000000" w:rsidDel="00000000" w:rsidP="00000000" w:rsidRDefault="00000000" w:rsidRPr="00000000" w14:paraId="000000BF">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w:t>
      </w:r>
    </w:p>
    <w:p w:rsidR="00000000" w:rsidDel="00000000" w:rsidP="00000000" w:rsidRDefault="00000000" w:rsidRPr="00000000" w14:paraId="000000C0">
      <w:pPr>
        <w:numPr>
          <w:ilvl w:val="2"/>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Division of Corporation Finance Staff Statement on Stablecoins — Relevance 10.82</w:t>
      </w:r>
    </w:p>
    <w:p w:rsidR="00000000" w:rsidDel="00000000" w:rsidP="00000000" w:rsidRDefault="00000000" w:rsidRPr="00000000" w14:paraId="000000C1">
      <w:pPr>
        <w:numPr>
          <w:ilvl w:val="3"/>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3920" w:hanging="360"/>
        <w:rPr>
          <w:color w:val="000000"/>
          <w:sz w:val="28"/>
          <w:szCs w:val="28"/>
          <w:shd w:fill="f5f5f5" w:val="clear"/>
        </w:rPr>
      </w:pPr>
      <w:r w:rsidDel="00000000" w:rsidR="00000000" w:rsidRPr="00000000">
        <w:rPr>
          <w:sz w:val="28"/>
          <w:szCs w:val="28"/>
          <w:shd w:fill="f5f5f5" w:val="clear"/>
          <w:rtl w:val="0"/>
        </w:rPr>
        <w:t xml:space="preserve">Snippet: “This statement addresses stablecoins that are designed to maintain a stable value relative to the United States Dollar… can be redeemed for USD on a one‑for‑one basis… and are backed by assets held in a reserve that are considered low‑risk and readily liquid… we refer to the types of stablecoins addressed by this statement as ‘Covered Stablecoins.’” (</w:t>
      </w:r>
      <w:hyperlink r:id="rId23">
        <w:r w:rsidDel="00000000" w:rsidR="00000000" w:rsidRPr="00000000">
          <w:rPr>
            <w:sz w:val="28"/>
            <w:szCs w:val="28"/>
            <w:u w:val="single"/>
            <w:shd w:fill="f5f5f5" w:val="clear"/>
            <w:rtl w:val="0"/>
          </w:rPr>
          <w:t xml:space="preserve">https://www.sec.gov/newsroom/speeches-statements/statement-stablecoins-040425</w:t>
        </w:r>
      </w:hyperlink>
      <w:r w:rsidDel="00000000" w:rsidR="00000000" w:rsidRPr="00000000">
        <w:rPr>
          <w:sz w:val="28"/>
          <w:szCs w:val="28"/>
          <w:shd w:fill="f5f5f5" w:val="clear"/>
          <w:rtl w:val="0"/>
        </w:rPr>
        <w:t xml:space="preserve">)</w:t>
      </w:r>
    </w:p>
    <w:p w:rsidR="00000000" w:rsidDel="00000000" w:rsidP="00000000" w:rsidRDefault="00000000" w:rsidRPr="00000000" w14:paraId="000000C2">
      <w:pPr>
        <w:numPr>
          <w:ilvl w:val="2"/>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Follow‑up commentary in SEC materials: staff urges careful analysis of whether stablecoins implicate securities law and points to custody, reserve and redemption issues as factors.</w:t>
      </w:r>
    </w:p>
    <w:p w:rsidR="00000000" w:rsidDel="00000000" w:rsidP="00000000" w:rsidRDefault="00000000" w:rsidRPr="00000000" w14:paraId="000000C3">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Practical effect: SEC focuses on case‑by‑case analysis (and potential securities law exposure) and leaves some aspects (e.g., prudential oversight, systemic risk) to banking regulators or Congress; issuers face legal uncertainty and multiple regulators.</w:t>
      </w:r>
    </w:p>
    <w:p w:rsidR="00000000" w:rsidDel="00000000" w:rsidP="00000000" w:rsidRDefault="00000000" w:rsidRPr="00000000" w14:paraId="000000C4">
      <w:pPr>
        <w:numPr>
          <w:ilvl w:val="0"/>
          <w:numId w:val="1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MiCA (EU)</w:t>
      </w:r>
    </w:p>
    <w:p w:rsidR="00000000" w:rsidDel="00000000" w:rsidP="00000000" w:rsidRDefault="00000000" w:rsidRPr="00000000" w14:paraId="000000C5">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Key features: MiCA creates two stablecoin categories with explicit rules:</w:t>
      </w:r>
    </w:p>
    <w:p w:rsidR="00000000" w:rsidDel="00000000" w:rsidP="00000000" w:rsidRDefault="00000000" w:rsidRPr="00000000" w14:paraId="000000C6">
      <w:pPr>
        <w:numPr>
          <w:ilvl w:val="2"/>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EMTs (electronic money tokens) — functionally equivalent to e‑money; governed by EMT rules and typically subject to e‑money‑type prudential safeguards.</w:t>
      </w:r>
    </w:p>
    <w:p w:rsidR="00000000" w:rsidDel="00000000" w:rsidP="00000000" w:rsidRDefault="00000000" w:rsidRPr="00000000" w14:paraId="000000C7">
      <w:pPr>
        <w:numPr>
          <w:ilvl w:val="2"/>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ARTs (asset‑referenced tokens) — must be authorized, hold segregated, unencumbered reserves with strict composition limits, use independent qualified custodians, avoid concentration risk, and guarantee redeemability; issuers face capital, governance, reporting and AML obligations.</w:t>
      </w:r>
    </w:p>
    <w:p w:rsidR="00000000" w:rsidDel="00000000" w:rsidP="00000000" w:rsidRDefault="00000000" w:rsidRPr="00000000" w14:paraId="000000C8">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w:t>
      </w:r>
    </w:p>
    <w:p w:rsidR="00000000" w:rsidDel="00000000" w:rsidP="00000000" w:rsidRDefault="00000000" w:rsidRPr="00000000" w14:paraId="000000C9">
      <w:pPr>
        <w:numPr>
          <w:ilvl w:val="2"/>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Ethena Labs memo — Relevance 17.92</w:t>
      </w:r>
    </w:p>
    <w:p w:rsidR="00000000" w:rsidDel="00000000" w:rsidP="00000000" w:rsidRDefault="00000000" w:rsidRPr="00000000" w14:paraId="000000CA">
      <w:pPr>
        <w:numPr>
          <w:ilvl w:val="3"/>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3920" w:hanging="360"/>
        <w:rPr>
          <w:color w:val="000000"/>
          <w:sz w:val="28"/>
          <w:szCs w:val="28"/>
          <w:shd w:fill="f5f5f5" w:val="clear"/>
        </w:rPr>
      </w:pPr>
      <w:r w:rsidDel="00000000" w:rsidR="00000000" w:rsidRPr="00000000">
        <w:rPr>
          <w:sz w:val="28"/>
          <w:szCs w:val="28"/>
          <w:shd w:fill="f5f5f5" w:val="clear"/>
          <w:rtl w:val="0"/>
        </w:rPr>
        <w:t xml:space="preserve">Snippet: “ARTs are… subject to stringent obligations around reserve composition and custody… Issuers must hold fully segregated and unencumbered reserves through independent and qualified custodians, while avoiding both asset and custodian concentration.” (</w:t>
      </w:r>
      <w:hyperlink r:id="rId24">
        <w:r w:rsidDel="00000000" w:rsidR="00000000" w:rsidRPr="00000000">
          <w:rPr>
            <w:sz w:val="28"/>
            <w:szCs w:val="28"/>
            <w:u w:val="single"/>
            <w:shd w:fill="f5f5f5" w:val="clear"/>
            <w:rtl w:val="0"/>
          </w:rPr>
          <w:t xml:space="preserve">https://www.sec.gov/files/ctf-memo-ethena-labs-s-morrison-cohen-llp-070125.pdf</w:t>
        </w:r>
      </w:hyperlink>
      <w:r w:rsidDel="00000000" w:rsidR="00000000" w:rsidRPr="00000000">
        <w:rPr>
          <w:sz w:val="28"/>
          <w:szCs w:val="28"/>
          <w:shd w:fill="f5f5f5" w:val="clear"/>
          <w:rtl w:val="0"/>
        </w:rPr>
        <w:t xml:space="preserve">)</w:t>
      </w:r>
    </w:p>
    <w:p w:rsidR="00000000" w:rsidDel="00000000" w:rsidP="00000000" w:rsidRDefault="00000000" w:rsidRPr="00000000" w14:paraId="000000CB">
      <w:pPr>
        <w:numPr>
          <w:ilvl w:val="3"/>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3920" w:hanging="360"/>
        <w:rPr>
          <w:color w:val="000000"/>
          <w:sz w:val="28"/>
          <w:szCs w:val="28"/>
          <w:shd w:fill="f5f5f5" w:val="clear"/>
        </w:rPr>
      </w:pPr>
      <w:r w:rsidDel="00000000" w:rsidR="00000000" w:rsidRPr="00000000">
        <w:rPr>
          <w:sz w:val="28"/>
          <w:szCs w:val="28"/>
          <w:shd w:fill="f5f5f5" w:val="clear"/>
          <w:rtl w:val="0"/>
        </w:rPr>
        <w:t xml:space="preserve">Snippet: “MiCA, adopted in 2023 and fully applicable as of December 2024, establishes a comprehensive regulatory framework for crypto‑assets, including a specific regime for stablecoins.” (</w:t>
      </w:r>
      <w:hyperlink r:id="rId25">
        <w:r w:rsidDel="00000000" w:rsidR="00000000" w:rsidRPr="00000000">
          <w:rPr>
            <w:sz w:val="28"/>
            <w:szCs w:val="28"/>
            <w:u w:val="single"/>
            <w:shd w:fill="f5f5f5" w:val="clear"/>
            <w:rtl w:val="0"/>
          </w:rPr>
          <w:t xml:space="preserve">https://www.sec.gov/files/ctf-memo-ethena-labs-s-morrison-cohen-llp-070125.pdf</w:t>
        </w:r>
      </w:hyperlink>
      <w:r w:rsidDel="00000000" w:rsidR="00000000" w:rsidRPr="00000000">
        <w:rPr>
          <w:sz w:val="28"/>
          <w:szCs w:val="28"/>
          <w:shd w:fill="f5f5f5" w:val="clear"/>
          <w:rtl w:val="0"/>
        </w:rPr>
        <w:t xml:space="preserve">)</w:t>
      </w:r>
    </w:p>
    <w:p w:rsidR="00000000" w:rsidDel="00000000" w:rsidP="00000000" w:rsidRDefault="00000000" w:rsidRPr="00000000" w14:paraId="000000CC">
      <w:pPr>
        <w:numPr>
          <w:ilvl w:val="2"/>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Ethena observation on market friction — Relevance 17.92</w:t>
      </w:r>
    </w:p>
    <w:p w:rsidR="00000000" w:rsidDel="00000000" w:rsidP="00000000" w:rsidRDefault="00000000" w:rsidRPr="00000000" w14:paraId="000000CD">
      <w:pPr>
        <w:numPr>
          <w:ilvl w:val="3"/>
          <w:numId w:val="1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3920" w:hanging="360"/>
        <w:rPr>
          <w:color w:val="000000"/>
          <w:sz w:val="28"/>
          <w:szCs w:val="28"/>
          <w:shd w:fill="f5f5f5" w:val="clear"/>
        </w:rPr>
      </w:pPr>
      <w:r w:rsidDel="00000000" w:rsidR="00000000" w:rsidRPr="00000000">
        <w:rPr>
          <w:sz w:val="28"/>
          <w:szCs w:val="28"/>
          <w:shd w:fill="f5f5f5" w:val="clear"/>
          <w:rtl w:val="0"/>
        </w:rPr>
        <w:t xml:space="preserve">Snippet: “Within the EU, compliance hurdles have so far created serious friction for market participants, and no applications by issuers of ARTs have been authorized to date.” (</w:t>
      </w:r>
      <w:hyperlink r:id="rId26">
        <w:r w:rsidDel="00000000" w:rsidR="00000000" w:rsidRPr="00000000">
          <w:rPr>
            <w:sz w:val="28"/>
            <w:szCs w:val="28"/>
            <w:u w:val="single"/>
            <w:shd w:fill="f5f5f5" w:val="clear"/>
            <w:rtl w:val="0"/>
          </w:rPr>
          <w:t xml:space="preserve">https://www.sec.gov/files/ctf-memo-ethena-labs-s-morrison-cohen-llp-070125.pdf</w:t>
        </w:r>
      </w:hyperlink>
      <w:r w:rsidDel="00000000" w:rsidR="00000000" w:rsidRPr="00000000">
        <w:rPr>
          <w:sz w:val="28"/>
          <w:szCs w:val="28"/>
          <w:shd w:fill="f5f5f5" w:val="clear"/>
          <w:rtl w:val="0"/>
        </w:rPr>
        <w:t xml:space="preserve">)</w:t>
      </w:r>
    </w:p>
    <w:p w:rsidR="00000000" w:rsidDel="00000000" w:rsidP="00000000" w:rsidRDefault="00000000" w:rsidRPr="00000000" w14:paraId="000000CE">
      <w:pPr>
        <w:numPr>
          <w:ilvl w:val="1"/>
          <w:numId w:val="10"/>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Practical effect: MiCA is far more prescriptive and places operational and prudential constraints on stablecoin issuers (aimed at consumer protection and financial stability), but the tight rules have also raised practical compliance challenges and slowed ART market entries.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Bottom line / comparative takeaways</w:t>
      </w:r>
    </w:p>
    <w:p w:rsidR="00000000" w:rsidDel="00000000" w:rsidP="00000000" w:rsidRDefault="00000000" w:rsidRPr="00000000" w14:paraId="000000D0">
      <w:pPr>
        <w:numPr>
          <w:ilvl w:val="0"/>
          <w:numId w:val="66"/>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Regulatory model: the SEC uses an existing‑law, enforcement‑and‑guidance approach that is flexible but legally uncertain for many token types; MiCA is a new, single EU regulation that prescribes front‑loaded authorization and standardized obligations.</w:t>
      </w:r>
    </w:p>
    <w:p w:rsidR="00000000" w:rsidDel="00000000" w:rsidP="00000000" w:rsidRDefault="00000000" w:rsidRPr="00000000" w14:paraId="000000D1">
      <w:pPr>
        <w:numPr>
          <w:ilvl w:val="0"/>
          <w:numId w:val="66"/>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Market authorization: MiCA gives clear, pre‑market authorization paths and standardized requirements; the SEC’s approach requires mapping each token to existing securities/other laws, often producing case‑by‑case determinations and litigation.</w:t>
      </w:r>
    </w:p>
    <w:p w:rsidR="00000000" w:rsidDel="00000000" w:rsidP="00000000" w:rsidRDefault="00000000" w:rsidRPr="00000000" w14:paraId="000000D2">
      <w:pPr>
        <w:numPr>
          <w:ilvl w:val="0"/>
          <w:numId w:val="66"/>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Investor protection: both jurisdictions emphasize investor protection, but MiCA embeds many consumer protections (whitepapers, custody/reserve rules, redemption, capital) into prescriptive rules; the SEC relies on securities law protections and enforcement when tokens qualify as securities and on staff guidance where applicable.</w:t>
      </w:r>
    </w:p>
    <w:p w:rsidR="00000000" w:rsidDel="00000000" w:rsidP="00000000" w:rsidRDefault="00000000" w:rsidRPr="00000000" w14:paraId="000000D3">
      <w:pPr>
        <w:numPr>
          <w:ilvl w:val="0"/>
          <w:numId w:val="66"/>
        </w:numPr>
        <w:pBdr>
          <w:top w:color="auto" w:space="0" w:sz="0" w:val="none"/>
          <w:bottom w:color="auto" w:space="0" w:sz="0" w:val="none"/>
          <w:right w:color="auto" w:space="0" w:sz="0" w:val="none"/>
          <w:between w:color="auto" w:space="0" w:sz="0" w:val="none"/>
        </w:pBdr>
        <w:shd w:fill="0b1120" w:val="clear"/>
        <w:spacing w:after="28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Stablecoins: MiCA is explicit and granular (EMTs vs ARTs, segregation, custodial/reserve rules); the SEC’s staff guidance identifies key risk factors for Covered Stablecoins but there is no single federal stablecoin statute — oversight can be multi‑agency and uncertain.</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If you want, I can:</w:t>
      </w:r>
    </w:p>
    <w:p w:rsidR="00000000" w:rsidDel="00000000" w:rsidP="00000000" w:rsidRDefault="00000000" w:rsidRPr="00000000" w14:paraId="000000D5">
      <w:pPr>
        <w:numPr>
          <w:ilvl w:val="0"/>
          <w:numId w:val="74"/>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Pull the actual MiCA regulation text excerpts (Regulation (EU) 2023/1114) from the EU source and cite specific articles (whitepaper, ART/EMT definitions, reserve/custody rules).</w:t>
      </w:r>
    </w:p>
    <w:p w:rsidR="00000000" w:rsidDel="00000000" w:rsidP="00000000" w:rsidRDefault="00000000" w:rsidRPr="00000000" w14:paraId="000000D6">
      <w:pPr>
        <w:numPr>
          <w:ilvl w:val="0"/>
          <w:numId w:val="74"/>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Compile a side‑by‑side table of specific MiCA articles vs. the closest SEC rules/cases/staff statements for each requirement (e.g., reserve segregation, redemption timing, capital buffers).</w:t>
      </w:r>
    </w:p>
    <w:p w:rsidR="00000000" w:rsidDel="00000000" w:rsidP="00000000" w:rsidRDefault="00000000" w:rsidRPr="00000000" w14:paraId="000000D7">
      <w:pPr>
        <w:numPr>
          <w:ilvl w:val="0"/>
          <w:numId w:val="74"/>
        </w:numPr>
        <w:pBdr>
          <w:top w:color="auto" w:space="0" w:sz="0" w:val="none"/>
          <w:bottom w:color="auto" w:space="0" w:sz="0" w:val="none"/>
          <w:right w:color="auto" w:space="0" w:sz="0" w:val="none"/>
          <w:between w:color="auto" w:space="0" w:sz="0" w:val="none"/>
        </w:pBdr>
        <w:shd w:fill="0b1120" w:val="clear"/>
        <w:spacing w:after="28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Update this with the very latest SEC or EU developments if you tell me the cut‑off date you want (my search used SEC Crypto Task Force materials and staff statements through 2025).</w:t>
      </w:r>
    </w:p>
    <w:p w:rsidR="00000000" w:rsidDel="00000000" w:rsidP="00000000" w:rsidRDefault="00000000" w:rsidRPr="00000000" w14:paraId="000000D8">
      <w:pPr>
        <w:spacing w:after="240" w:before="240" w:line="259" w:lineRule="auto"/>
        <w:jc w:val="both"/>
        <w:rPr>
          <w:rFonts w:ascii="Calibri" w:cs="Calibri" w:eastAsia="Calibri" w:hAnsi="Calibri"/>
          <w:sz w:val="28"/>
          <w:szCs w:val="28"/>
          <w:shd w:fill="f5f5f5" w:val="clear"/>
        </w:rPr>
      </w:pPr>
      <w:hyperlink r:id="rId27">
        <w:r w:rsidDel="00000000" w:rsidR="00000000" w:rsidRPr="00000000">
          <w:rPr>
            <w:rFonts w:ascii="Calibri" w:cs="Calibri" w:eastAsia="Calibri" w:hAnsi="Calibri"/>
            <w:color w:val="1155cc"/>
            <w:sz w:val="28"/>
            <w:szCs w:val="28"/>
            <w:u w:val="single"/>
            <w:shd w:fill="f5f5f5" w:val="clear"/>
            <w:rtl w:val="0"/>
          </w:rPr>
          <w:t xml:space="preserve">Perplexity.ai</w:t>
        </w:r>
      </w:hyperlink>
      <w:r w:rsidDel="00000000" w:rsidR="00000000" w:rsidRPr="00000000">
        <w:rPr>
          <w:rtl w:val="0"/>
        </w:rPr>
      </w:r>
    </w:p>
    <w:p w:rsidR="00000000" w:rsidDel="00000000" w:rsidP="00000000" w:rsidRDefault="00000000" w:rsidRPr="00000000" w14:paraId="000000D9">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EU’s MiCA regime provides a single, prescriptive licensing and product rulebook for crypto across the EU, while the U.S. still relies on a fragmented mix of SEC/CFTC authority plus new stablecoin‑specific banking legislation, which makes MiCA more unified but also more intrusive, especially for stablecoins.jdsupra+4</w:t>
      </w:r>
    </w:p>
    <w:p w:rsidR="00000000" w:rsidDel="00000000" w:rsidP="00000000" w:rsidRDefault="00000000" w:rsidRPr="00000000" w14:paraId="000000DA">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k0c1wuen7rqj" w:id="14"/>
      <w:bookmarkEnd w:id="14"/>
      <w:r w:rsidDel="00000000" w:rsidR="00000000" w:rsidRPr="00000000">
        <w:rPr>
          <w:rFonts w:ascii="Calibri" w:cs="Calibri" w:eastAsia="Calibri" w:hAnsi="Calibri"/>
          <w:b w:val="1"/>
          <w:bCs w:val="1"/>
          <w:sz w:val="34"/>
          <w:szCs w:val="34"/>
          <w:shd w:fill="f5f5f5" w:val="clear"/>
          <w:rtl w:val="0"/>
        </w:rPr>
        <w:t xml:space="preserve">Market authorization</w:t>
      </w:r>
    </w:p>
    <w:p w:rsidR="00000000" w:rsidDel="00000000" w:rsidP="00000000" w:rsidRDefault="00000000" w:rsidRPr="00000000" w14:paraId="000000DB">
      <w:pPr>
        <w:numPr>
          <w:ilvl w:val="0"/>
          <w:numId w:val="42"/>
        </w:numPr>
        <w:spacing w:after="0" w:afterAutospacing="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United States (SEC‑centric framework):</w:t>
      </w:r>
      <w:r w:rsidDel="00000000" w:rsidR="00000000" w:rsidRPr="00000000">
        <w:rPr>
          <w:rFonts w:ascii="Calibri" w:cs="Calibri" w:eastAsia="Calibri" w:hAnsi="Calibri"/>
          <w:sz w:val="28"/>
          <w:szCs w:val="28"/>
          <w:shd w:fill="f5f5f5" w:val="clear"/>
          <w:rtl w:val="0"/>
        </w:rPr>
        <w:t xml:space="preserve"> There is still no omnibus federal “crypto license”; platforms and issuers fit into existing categories (securities exchanges/brokers, investment advisers, commodity platforms, money transmitters, banks) based on how specific assets are classified and used. New 2025 legislation (GENIUS/CLARITY Acts) clarifies that most non‑security digital assets fall under CFTC/other oversight rather than SEC, but does not create a MiCA‑style, cross‑asset authorization regime for all crypto‑asset service providers.sec+2</w:t>
      </w:r>
    </w:p>
    <w:p w:rsidR="00000000" w:rsidDel="00000000" w:rsidP="00000000" w:rsidRDefault="00000000" w:rsidRPr="00000000" w14:paraId="000000DC">
      <w:pPr>
        <w:numPr>
          <w:ilvl w:val="0"/>
          <w:numId w:val="42"/>
        </w:numPr>
        <w:spacing w:after="24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EU (MiCA):</w:t>
      </w:r>
      <w:r w:rsidDel="00000000" w:rsidR="00000000" w:rsidRPr="00000000">
        <w:rPr>
          <w:rFonts w:ascii="Calibri" w:cs="Calibri" w:eastAsia="Calibri" w:hAnsi="Calibri"/>
          <w:sz w:val="28"/>
          <w:szCs w:val="28"/>
          <w:shd w:fill="f5f5f5" w:val="clear"/>
          <w:rtl w:val="0"/>
        </w:rPr>
        <w:t xml:space="preserve"> MiCA creates a harmonized authorization regime for “crypto‑asset service providers” (CASPs) and for issuers of most crypto‑assets, requiring a single license from an EU national competent authority that then passports across the Union. Issuers of asset‑referenced tokens (ARTs) and e‑money tokens (EMTs) must obtain prior authorization before any public offer or admission to trading, publish a compliant white paper, and meet ongoing capital, governance, and reserve rules.legalnodes+2</w:t>
      </w:r>
    </w:p>
    <w:p w:rsidR="00000000" w:rsidDel="00000000" w:rsidP="00000000" w:rsidRDefault="00000000" w:rsidRPr="00000000" w14:paraId="000000DD">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90tiqz620h4x" w:id="15"/>
      <w:bookmarkEnd w:id="15"/>
      <w:r w:rsidDel="00000000" w:rsidR="00000000" w:rsidRPr="00000000">
        <w:rPr>
          <w:rFonts w:ascii="Calibri" w:cs="Calibri" w:eastAsia="Calibri" w:hAnsi="Calibri"/>
          <w:b w:val="1"/>
          <w:bCs w:val="1"/>
          <w:sz w:val="34"/>
          <w:szCs w:val="34"/>
          <w:shd w:fill="f5f5f5" w:val="clear"/>
          <w:rtl w:val="0"/>
        </w:rPr>
        <w:t xml:space="preserve">High‑level contrast (authorization)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1437699680512"/>
        <w:gridCol w:w="4146.709265175718"/>
        <w:gridCol w:w="3698.1469648562297"/>
        <w:tblGridChange w:id="0">
          <w:tblGrid>
            <w:gridCol w:w="1515.1437699680512"/>
            <w:gridCol w:w="4146.709265175718"/>
            <w:gridCol w:w="3698.14696485622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259" w:lineRule="auto"/>
              <w:jc w:val="center"/>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59" w:lineRule="auto"/>
              <w:jc w:val="center"/>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U.S. (SEC &amp; others)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259" w:lineRule="auto"/>
              <w:jc w:val="center"/>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EU (MiCA)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Core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Asset‑by‑asset classification, existing securities/commodities/banking licenses.jdsupra+1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Single MiCA authorization for CASPs and specific issuer licenses for ARTs/EMTs.legalnodes+1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Passporting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None; state and federal patchwork.[</w:t>
            </w:r>
            <w:hyperlink r:id="rId28">
              <w:r w:rsidDel="00000000" w:rsidR="00000000" w:rsidRPr="00000000">
                <w:rPr>
                  <w:rFonts w:ascii="Calibri" w:cs="Calibri" w:eastAsia="Calibri" w:hAnsi="Calibri"/>
                  <w:color w:val="1155cc"/>
                  <w:sz w:val="28"/>
                  <w:szCs w:val="28"/>
                  <w:u w:val="single"/>
                  <w:shd w:fill="f5f5f5" w:val="clear"/>
                  <w:rtl w:val="0"/>
                </w:rPr>
                <w:t xml:space="preserve">trmlabs</w:t>
              </w:r>
            </w:hyperlink>
            <w:r w:rsidDel="00000000" w:rsidR="00000000" w:rsidRPr="00000000">
              <w:rPr>
                <w:rFonts w:ascii="Calibri" w:cs="Calibri" w:eastAsia="Calibri" w:hAnsi="Calibri"/>
                <w:sz w:val="28"/>
                <w:szCs w:val="28"/>
                <w:shd w:fill="f5f5f5"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EU‑wide passport once authorized in one Member State.[</w:t>
            </w:r>
            <w:hyperlink r:id="rId29">
              <w:r w:rsidDel="00000000" w:rsidR="00000000" w:rsidRPr="00000000">
                <w:rPr>
                  <w:rFonts w:ascii="Calibri" w:cs="Calibri" w:eastAsia="Calibri" w:hAnsi="Calibri"/>
                  <w:color w:val="1155cc"/>
                  <w:sz w:val="28"/>
                  <w:szCs w:val="28"/>
                  <w:u w:val="single"/>
                  <w:shd w:fill="f5f5f5" w:val="clear"/>
                  <w:rtl w:val="0"/>
                </w:rPr>
                <w:t xml:space="preserve">legalnodes</w:t>
              </w:r>
            </w:hyperlink>
            <w:r w:rsidDel="00000000" w:rsidR="00000000" w:rsidRPr="00000000">
              <w:rPr>
                <w:rFonts w:ascii="Calibri" w:cs="Calibri" w:eastAsia="Calibri" w:hAnsi="Calibri"/>
                <w:sz w:val="28"/>
                <w:szCs w:val="28"/>
                <w:shd w:fill="f5f5f5" w:val="clea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Issuer pre‑approval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Only if instrument is a “security” or bank/e‑money product; many tokens have no ex‑ante product approval.jdsupra+1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Ex‑ante authorization and whitepaper approval for most public token offerings and for ART/EMT issuers.legalnodes+2</w:t>
            </w:r>
          </w:p>
        </w:tc>
      </w:tr>
    </w:tbl>
    <w:p w:rsidR="00000000" w:rsidDel="00000000" w:rsidP="00000000" w:rsidRDefault="00000000" w:rsidRPr="00000000" w14:paraId="000000EA">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hzftmsieeqgi" w:id="16"/>
      <w:bookmarkEnd w:id="16"/>
      <w:r w:rsidDel="00000000" w:rsidR="00000000" w:rsidRPr="00000000">
        <w:rPr>
          <w:rFonts w:ascii="Calibri" w:cs="Calibri" w:eastAsia="Calibri" w:hAnsi="Calibri"/>
          <w:b w:val="1"/>
          <w:bCs w:val="1"/>
          <w:sz w:val="34"/>
          <w:szCs w:val="34"/>
          <w:shd w:fill="f5f5f5" w:val="clear"/>
          <w:rtl w:val="0"/>
        </w:rPr>
        <w:t xml:space="preserve">Investor protection</w:t>
      </w:r>
    </w:p>
    <w:p w:rsidR="00000000" w:rsidDel="00000000" w:rsidP="00000000" w:rsidRDefault="00000000" w:rsidRPr="00000000" w14:paraId="000000EB">
      <w:pPr>
        <w:numPr>
          <w:ilvl w:val="0"/>
          <w:numId w:val="39"/>
        </w:numPr>
        <w:spacing w:after="0" w:afterAutospacing="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United States:</w:t>
      </w:r>
      <w:r w:rsidDel="00000000" w:rsidR="00000000" w:rsidRPr="00000000">
        <w:rPr>
          <w:rFonts w:ascii="Calibri" w:cs="Calibri" w:eastAsia="Calibri" w:hAnsi="Calibri"/>
          <w:sz w:val="28"/>
          <w:szCs w:val="28"/>
          <w:shd w:fill="f5f5f5" w:val="clear"/>
          <w:rtl w:val="0"/>
        </w:rPr>
        <w:t xml:space="preserve"> Investor safeguards come mainly from applying existing securities‑law tools where tokens are “securities” (disclosure, registration, anti‑fraud, market‑abuse rules), plus CFTC anti‑fraud/anti‑manipulation powers for commodities, and bank/AML rules on custodians and stablecoin issuers. Recent policy documents emphasize “technology‑neutral” parity of protections for functionally similar products rather than crypto‑specific retail conduct rules.lw+3</w:t>
      </w:r>
    </w:p>
    <w:p w:rsidR="00000000" w:rsidDel="00000000" w:rsidP="00000000" w:rsidRDefault="00000000" w:rsidRPr="00000000" w14:paraId="000000EC">
      <w:pPr>
        <w:numPr>
          <w:ilvl w:val="0"/>
          <w:numId w:val="39"/>
        </w:numPr>
        <w:spacing w:after="24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EU (MiCA):</w:t>
      </w:r>
      <w:r w:rsidDel="00000000" w:rsidR="00000000" w:rsidRPr="00000000">
        <w:rPr>
          <w:rFonts w:ascii="Calibri" w:cs="Calibri" w:eastAsia="Calibri" w:hAnsi="Calibri"/>
          <w:sz w:val="28"/>
          <w:szCs w:val="28"/>
          <w:shd w:fill="f5f5f5" w:val="clear"/>
          <w:rtl w:val="0"/>
        </w:rPr>
        <w:t xml:space="preserve"> MiCA hard‑codes product‑specific protections: standardized whitepaper disclosures, risk warnings, conflicts‑of‑interest controls, complaints handling, governance and prudential requirements for CASPs, and strict reserve, redemption, and transparency obligations for stablecoin issuers. These provisions aim to provide a consistent baseline across the EU, even for tokens that would not qualify as traditional “securities” under existing EU financial‑instruments law.actlegal+2</w:t>
      </w:r>
    </w:p>
    <w:p w:rsidR="00000000" w:rsidDel="00000000" w:rsidP="00000000" w:rsidRDefault="00000000" w:rsidRPr="00000000" w14:paraId="000000ED">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d8westho916p" w:id="17"/>
      <w:bookmarkEnd w:id="17"/>
      <w:r w:rsidDel="00000000" w:rsidR="00000000" w:rsidRPr="00000000">
        <w:rPr>
          <w:rFonts w:ascii="Calibri" w:cs="Calibri" w:eastAsia="Calibri" w:hAnsi="Calibri"/>
          <w:b w:val="1"/>
          <w:bCs w:val="1"/>
          <w:sz w:val="34"/>
          <w:szCs w:val="34"/>
          <w:shd w:fill="f5f5f5" w:val="clear"/>
          <w:rtl w:val="0"/>
        </w:rPr>
        <w:t xml:space="preserve">High‑level contrast (investor protection)</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6709265175718"/>
        <w:gridCol w:w="4236.4217252396165"/>
        <w:gridCol w:w="3772.907348242811"/>
        <w:tblGridChange w:id="0">
          <w:tblGrid>
            <w:gridCol w:w="1350.6709265175718"/>
            <w:gridCol w:w="4236.4217252396165"/>
            <w:gridCol w:w="3772.9073482428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259" w:lineRule="auto"/>
              <w:jc w:val="center"/>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59" w:lineRule="auto"/>
              <w:jc w:val="center"/>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U.S. (SEC &amp; others)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59" w:lineRule="auto"/>
              <w:jc w:val="center"/>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EU (MiCA)</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Source of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Existing securities/commodities/banking law applied to crypto.jdsupra+1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A bespoke MiCA rulebook plus existing financial law (e.g., for EMTs as e‑money).legalnodes+1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Disclosure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Full SEC‑style disclosure only if token is a security; otherwise more patchy, driven by general anti‑fraud and state rules.jdsupra+1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MiCA‑mandated whitepapers and standardized disclosures for most public offers; extra transparency for ARTs/EMTs.legalnodes+2</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Conduct of 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Covered by existing broker‑dealer/adviser rules where applicable; no unified crypto CASP regime.jdsupra+1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Explicit CASP conduct rules (safekeeping, conflicts, order handling, complaints) across the EU.legalnodes+1</w:t>
            </w:r>
          </w:p>
        </w:tc>
      </w:tr>
    </w:tbl>
    <w:p w:rsidR="00000000" w:rsidDel="00000000" w:rsidP="00000000" w:rsidRDefault="00000000" w:rsidRPr="00000000" w14:paraId="000000FA">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ar08ciquav1r" w:id="18"/>
      <w:bookmarkEnd w:id="18"/>
      <w:r w:rsidDel="00000000" w:rsidR="00000000" w:rsidRPr="00000000">
        <w:rPr>
          <w:rFonts w:ascii="Calibri" w:cs="Calibri" w:eastAsia="Calibri" w:hAnsi="Calibri"/>
          <w:b w:val="1"/>
          <w:bCs w:val="1"/>
          <w:sz w:val="34"/>
          <w:szCs w:val="34"/>
          <w:shd w:fill="f5f5f5" w:val="clear"/>
          <w:rtl w:val="0"/>
        </w:rPr>
        <w:t xml:space="preserve">Stablecoin oversight</w:t>
      </w:r>
    </w:p>
    <w:p w:rsidR="00000000" w:rsidDel="00000000" w:rsidP="00000000" w:rsidRDefault="00000000" w:rsidRPr="00000000" w14:paraId="000000FB">
      <w:pPr>
        <w:numPr>
          <w:ilvl w:val="0"/>
          <w:numId w:val="87"/>
        </w:numPr>
        <w:spacing w:after="0" w:afterAutospacing="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United States (post‑GENIUS Act):</w:t>
      </w:r>
      <w:r w:rsidDel="00000000" w:rsidR="00000000" w:rsidRPr="00000000">
        <w:rPr>
          <w:rFonts w:ascii="Calibri" w:cs="Calibri" w:eastAsia="Calibri" w:hAnsi="Calibri"/>
          <w:sz w:val="28"/>
          <w:szCs w:val="28"/>
          <w:shd w:fill="f5f5f5" w:val="clear"/>
          <w:rtl w:val="0"/>
        </w:rPr>
        <w:t xml:space="preserve"> The GENIUS Act establishes a dedicated regime for “permitted payment stablecoins,” placing bank‑subsidiary issuers under their primary banking regulator and non‑bank issuers under the OCC, and expressly carving such payment stablecoins out of SEC/CFTC product jurisdiction. Issuers must meet prudential, reserve, and risk‑management requirements and are treated as “financial institutions” for BSA/AML, with large state‑regulated issuers forced to migrate into the federal regime once they exceed a size threshold (e.g., market cap over 10 billion USD or stop issuing).jdsupra+1</w:t>
      </w:r>
    </w:p>
    <w:p w:rsidR="00000000" w:rsidDel="00000000" w:rsidP="00000000" w:rsidRDefault="00000000" w:rsidRPr="00000000" w14:paraId="000000FC">
      <w:pPr>
        <w:numPr>
          <w:ilvl w:val="0"/>
          <w:numId w:val="87"/>
        </w:numPr>
        <w:spacing w:after="24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EU (MiCA):</w:t>
      </w:r>
      <w:r w:rsidDel="00000000" w:rsidR="00000000" w:rsidRPr="00000000">
        <w:rPr>
          <w:rFonts w:ascii="Calibri" w:cs="Calibri" w:eastAsia="Calibri" w:hAnsi="Calibri"/>
          <w:sz w:val="28"/>
          <w:szCs w:val="28"/>
          <w:shd w:fill="f5f5f5" w:val="clear"/>
          <w:rtl w:val="0"/>
        </w:rPr>
        <w:t xml:space="preserve"> MiCA divides stablecoins into ARTs (backed by baskets of assets) and EMTs (single‑currency‑pegged), requiring (i) prior authorization, (ii) full, high‑quality reserve backing, (iii) strict redemption rights at par for EMTs, (iv) limits on daily transaction volumes and outstanding amounts, and (v) enhanced supervision by the EBA for “significant” issuers. MiCA also adds quantitative caps on large‑scale stablecoin use (for example, ceilings on daily transaction volumes in the EU) to protect EU monetary sovereignty.llpolawfirm+4</w:t>
      </w:r>
    </w:p>
    <w:p w:rsidR="00000000" w:rsidDel="00000000" w:rsidP="00000000" w:rsidRDefault="00000000" w:rsidRPr="00000000" w14:paraId="000000FD">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qm270n9j6gs7" w:id="19"/>
      <w:bookmarkEnd w:id="19"/>
      <w:r w:rsidDel="00000000" w:rsidR="00000000" w:rsidRPr="00000000">
        <w:rPr>
          <w:rFonts w:ascii="Calibri" w:cs="Calibri" w:eastAsia="Calibri" w:hAnsi="Calibri"/>
          <w:b w:val="1"/>
          <w:bCs w:val="1"/>
          <w:sz w:val="34"/>
          <w:szCs w:val="34"/>
          <w:shd w:fill="f5f5f5" w:val="clear"/>
          <w:rtl w:val="0"/>
        </w:rPr>
        <w:t xml:space="preserve">High‑level contrast (stablecoins)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9.9041533546324"/>
        <w:gridCol w:w="3728.0511182108626"/>
        <w:gridCol w:w="4042.0447284345046"/>
        <w:tblGridChange w:id="0">
          <w:tblGrid>
            <w:gridCol w:w="1589.9041533546324"/>
            <w:gridCol w:w="3728.0511182108626"/>
            <w:gridCol w:w="4042.04472843450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259" w:lineRule="auto"/>
              <w:jc w:val="center"/>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59" w:lineRule="auto"/>
              <w:jc w:val="center"/>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U.S. (GENIUS‑centric)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59" w:lineRule="auto"/>
              <w:jc w:val="center"/>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EU (MiCA ARTs/EMTs)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Primary regulator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Federal banking agencies and OCC, not SEC/CFTC, for payment stablecoins.lw+1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National competent authorities, with EBA oversight of “significant” ART/EMT issuers.legalnodes+1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Product perimeter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“Permitted payment stablecoins” defined in statute; treated neither as securities nor commodities.[</w:t>
            </w:r>
            <w:hyperlink r:id="rId30">
              <w:r w:rsidDel="00000000" w:rsidR="00000000" w:rsidRPr="00000000">
                <w:rPr>
                  <w:rFonts w:ascii="Calibri" w:cs="Calibri" w:eastAsia="Calibri" w:hAnsi="Calibri"/>
                  <w:color w:val="1155cc"/>
                  <w:sz w:val="28"/>
                  <w:szCs w:val="28"/>
                  <w:u w:val="single"/>
                  <w:shd w:fill="f5f5f5" w:val="clear"/>
                  <w:rtl w:val="0"/>
                </w:rPr>
                <w:t xml:space="preserve">lw</w:t>
              </w:r>
            </w:hyperlink>
            <w:r w:rsidDel="00000000" w:rsidR="00000000" w:rsidRPr="00000000">
              <w:rPr>
                <w:rFonts w:ascii="Calibri" w:cs="Calibri" w:eastAsia="Calibri" w:hAnsi="Calibri"/>
                <w:sz w:val="28"/>
                <w:szCs w:val="28"/>
                <w:shd w:fill="f5f5f5"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ARTs and EMTs defined in MiCA; many stablecoins fall into one of these buckets.legalnodes+2</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Reserve &amp; redemption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Prudential and reserve standards set by banking regulators; details vary by charter and guidance.lw+1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Full reserve, liquidity, and audit requirements; EMTs must be redeemable at par at any time.legalnodes+2</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Quantitative caps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No general federal cap on volumes or market share, though large state issuers must federalize or stop growth.[</w:t>
            </w:r>
            <w:hyperlink r:id="rId31">
              <w:r w:rsidDel="00000000" w:rsidR="00000000" w:rsidRPr="00000000">
                <w:rPr>
                  <w:rFonts w:ascii="Calibri" w:cs="Calibri" w:eastAsia="Calibri" w:hAnsi="Calibri"/>
                  <w:color w:val="1155cc"/>
                  <w:sz w:val="28"/>
                  <w:szCs w:val="28"/>
                  <w:u w:val="single"/>
                  <w:shd w:fill="f5f5f5" w:val="clear"/>
                  <w:rtl w:val="0"/>
                </w:rPr>
                <w:t xml:space="preserve">lw</w:t>
              </w:r>
            </w:hyperlink>
            <w:r w:rsidDel="00000000" w:rsidR="00000000" w:rsidRPr="00000000">
              <w:rPr>
                <w:rFonts w:ascii="Calibri" w:cs="Calibri" w:eastAsia="Calibri" w:hAnsi="Calibri"/>
                <w:sz w:val="28"/>
                <w:szCs w:val="28"/>
                <w:shd w:fill="f5f5f5"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Explicit caps and thresholds on significant ARTs/EMTs and on daily transactions to protect monetary policy.alphapoint+2</w:t>
            </w:r>
          </w:p>
        </w:tc>
      </w:tr>
    </w:tbl>
    <w:p w:rsidR="00000000" w:rsidDel="00000000" w:rsidP="00000000" w:rsidRDefault="00000000" w:rsidRPr="00000000" w14:paraId="0000010D">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In practical terms, </w:t>
      </w:r>
      <w:r w:rsidDel="00000000" w:rsidR="00000000" w:rsidRPr="00000000">
        <w:rPr>
          <w:rFonts w:ascii="Calibri" w:cs="Calibri" w:eastAsia="Calibri" w:hAnsi="Calibri"/>
          <w:b w:val="1"/>
          <w:bCs w:val="1"/>
          <w:sz w:val="28"/>
          <w:szCs w:val="28"/>
          <w:shd w:fill="f5f5f5" w:val="clear"/>
          <w:rtl w:val="0"/>
        </w:rPr>
        <w:t xml:space="preserve">MiCA</w:t>
      </w:r>
      <w:r w:rsidDel="00000000" w:rsidR="00000000" w:rsidRPr="00000000">
        <w:rPr>
          <w:rFonts w:ascii="Calibri" w:cs="Calibri" w:eastAsia="Calibri" w:hAnsi="Calibri"/>
          <w:sz w:val="28"/>
          <w:szCs w:val="28"/>
          <w:shd w:fill="f5f5f5" w:val="clear"/>
          <w:rtl w:val="0"/>
        </w:rPr>
        <w:t xml:space="preserve"> offers a single, detailed authorization and conduct framework with tight, quota‑like constraints on large stablecoins, while the </w:t>
      </w:r>
      <w:r w:rsidDel="00000000" w:rsidR="00000000" w:rsidRPr="00000000">
        <w:rPr>
          <w:rFonts w:ascii="Calibri" w:cs="Calibri" w:eastAsia="Calibri" w:hAnsi="Calibri"/>
          <w:b w:val="1"/>
          <w:bCs w:val="1"/>
          <w:sz w:val="28"/>
          <w:szCs w:val="28"/>
          <w:shd w:fill="f5f5f5" w:val="clear"/>
          <w:rtl w:val="0"/>
        </w:rPr>
        <w:t xml:space="preserve">U.S.</w:t>
      </w:r>
      <w:r w:rsidDel="00000000" w:rsidR="00000000" w:rsidRPr="00000000">
        <w:rPr>
          <w:rFonts w:ascii="Calibri" w:cs="Calibri" w:eastAsia="Calibri" w:hAnsi="Calibri"/>
          <w:sz w:val="28"/>
          <w:szCs w:val="28"/>
          <w:shd w:fill="f5f5f5" w:val="clear"/>
          <w:rtl w:val="0"/>
        </w:rPr>
        <w:t xml:space="preserve"> approach remains more fragmented but now channels stablecoins into a bank‑style prudential regime and leaves other crypto assets largely to a mix of SEC, CFTC, and banking/AML oversight rather than a purpose‑built MiCA analogue.trmlabs+4</w:t>
      </w:r>
    </w:p>
    <w:p w:rsidR="00000000" w:rsidDel="00000000" w:rsidP="00000000" w:rsidRDefault="00000000" w:rsidRPr="00000000" w14:paraId="0000010E">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br w:type="textWrapping"/>
      </w:r>
      <w:hyperlink r:id="rId32">
        <w:r w:rsidDel="00000000" w:rsidR="00000000" w:rsidRPr="00000000">
          <w:rPr>
            <w:rFonts w:ascii="Calibri" w:cs="Calibri" w:eastAsia="Calibri" w:hAnsi="Calibri"/>
            <w:color w:val="1155cc"/>
            <w:sz w:val="28"/>
            <w:szCs w:val="28"/>
            <w:u w:val="single"/>
            <w:shd w:fill="f5f5f5" w:val="clear"/>
            <w:rtl w:val="0"/>
          </w:rPr>
          <w:t xml:space="preserve">Claude.Ai</w:t>
        </w:r>
      </w:hyperlink>
      <w:r w:rsidDel="00000000" w:rsidR="00000000" w:rsidRPr="00000000">
        <w:rPr>
          <w:rtl w:val="0"/>
        </w:rPr>
      </w:r>
    </w:p>
    <w:p w:rsidR="00000000" w:rsidDel="00000000" w:rsidP="00000000" w:rsidRDefault="00000000" w:rsidRPr="00000000" w14:paraId="0000010F">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This is a rich comparison with direct CRI relevance, particularly for your staking, custody, and SPBD intelligence products. Let me lay this out as a structured analytical brief.</w:t>
      </w:r>
    </w:p>
    <w:p w:rsidR="00000000" w:rsidDel="00000000" w:rsidP="00000000" w:rsidRDefault="00000000" w:rsidRPr="00000000" w14:paraId="00000110">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o4pxmeabhyuz" w:id="20"/>
      <w:bookmarkEnd w:id="20"/>
      <w:r w:rsidDel="00000000" w:rsidR="00000000" w:rsidRPr="00000000">
        <w:rPr>
          <w:rFonts w:ascii="Calibri" w:cs="Calibri" w:eastAsia="Calibri" w:hAnsi="Calibri"/>
          <w:b w:val="1"/>
          <w:bCs w:val="1"/>
          <w:sz w:val="34"/>
          <w:szCs w:val="34"/>
          <w:shd w:fill="f5f5f5" w:val="clear"/>
          <w:rtl w:val="0"/>
        </w:rPr>
        <w:t xml:space="preserve">SEC Framework vs. EU MiCA: A Three-Dimension Comparison</w:t>
      </w:r>
    </w:p>
    <w:p w:rsidR="00000000" w:rsidDel="00000000" w:rsidP="00000000" w:rsidRDefault="00000000" w:rsidRPr="00000000" w14:paraId="00000112">
      <w:pPr>
        <w:spacing w:after="240" w:before="240" w:line="259" w:lineRule="auto"/>
        <w:jc w:val="both"/>
        <w:rPr>
          <w:rFonts w:ascii="Calibri" w:cs="Calibri" w:eastAsia="Calibri" w:hAnsi="Calibri"/>
          <w:i w:val="1"/>
          <w:iCs w:val="1"/>
          <w:sz w:val="28"/>
          <w:szCs w:val="28"/>
          <w:shd w:fill="f5f5f5" w:val="clear"/>
        </w:rPr>
      </w:pPr>
      <w:r w:rsidDel="00000000" w:rsidR="00000000" w:rsidRPr="00000000">
        <w:rPr>
          <w:rFonts w:ascii="Calibri" w:cs="Calibri" w:eastAsia="Calibri" w:hAnsi="Calibri"/>
          <w:i w:val="1"/>
          <w:iCs w:val="1"/>
          <w:sz w:val="28"/>
          <w:szCs w:val="28"/>
          <w:shd w:fill="f5f5f5" w:val="clear"/>
          <w:rtl w:val="0"/>
        </w:rPr>
        <w:t xml:space="preserve">Current as of March 2026</w:t>
      </w:r>
    </w:p>
    <w:p w:rsidR="00000000" w:rsidDel="00000000" w:rsidP="00000000" w:rsidRDefault="00000000" w:rsidRPr="00000000" w14:paraId="00000113">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csubv8kp6czj" w:id="21"/>
      <w:bookmarkEnd w:id="21"/>
      <w:r w:rsidDel="00000000" w:rsidR="00000000" w:rsidRPr="00000000">
        <w:rPr>
          <w:rFonts w:ascii="Calibri" w:cs="Calibri" w:eastAsia="Calibri" w:hAnsi="Calibri"/>
          <w:b w:val="1"/>
          <w:bCs w:val="1"/>
          <w:color w:val="000000"/>
          <w:sz w:val="26"/>
          <w:szCs w:val="26"/>
          <w:shd w:fill="f5f5f5" w:val="clear"/>
          <w:rtl w:val="0"/>
        </w:rPr>
        <w:t xml:space="preserve">Dimension 1: Market Authorization</w:t>
      </w:r>
    </w:p>
    <w:p w:rsidR="00000000" w:rsidDel="00000000" w:rsidP="00000000" w:rsidRDefault="00000000" w:rsidRPr="00000000" w14:paraId="00000115">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MiCA — Affirmative Licensing Architecture</w:t>
      </w:r>
    </w:p>
    <w:p w:rsidR="00000000" w:rsidDel="00000000" w:rsidP="00000000" w:rsidRDefault="00000000" w:rsidRPr="00000000" w14:paraId="00000116">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MiCA operates on a pre-authorization model. Crypto Asset Service Providers must apply for licenses to operate within the EU, with a grandfathering period of up to 18 months for existing providers transitioning to full compliance. The regime is now generating real numbers: as of December 2025, 102 CASPs are operating in the EU under full MiCA authorization, including 12 credit institutions, though the stablecoin issuer market remains less developed with just 30 active issuers.</w:t>
      </w:r>
    </w:p>
    <w:p w:rsidR="00000000" w:rsidDel="00000000" w:rsidP="00000000" w:rsidRDefault="00000000" w:rsidRPr="00000000" w14:paraId="00000117">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authorization structure is tiered. MiCA covers crypto-assets not currently regulated by existing financial services legislation, with key provisions on transparency, disclosure, authorization, and supervision of transactions — supporting market integrity and financial stability by regulating public offers. Where a token qualifies as a financial instrument under MiFID II, it falls </w:t>
      </w:r>
      <w:r w:rsidDel="00000000" w:rsidR="00000000" w:rsidRPr="00000000">
        <w:rPr>
          <w:rFonts w:ascii="Calibri" w:cs="Calibri" w:eastAsia="Calibri" w:hAnsi="Calibri"/>
          <w:i w:val="1"/>
          <w:iCs w:val="1"/>
          <w:sz w:val="28"/>
          <w:szCs w:val="28"/>
          <w:shd w:fill="f5f5f5" w:val="clear"/>
          <w:rtl w:val="0"/>
        </w:rPr>
        <w:t xml:space="preserve">outside</w:t>
      </w:r>
      <w:r w:rsidDel="00000000" w:rsidR="00000000" w:rsidRPr="00000000">
        <w:rPr>
          <w:rFonts w:ascii="Calibri" w:cs="Calibri" w:eastAsia="Calibri" w:hAnsi="Calibri"/>
          <w:sz w:val="28"/>
          <w:szCs w:val="28"/>
          <w:shd w:fill="f5f5f5" w:val="clear"/>
          <w:rtl w:val="0"/>
        </w:rPr>
        <w:t xml:space="preserve"> MiCA and into the existing securities regime — a clean jurisdictional boundary the US still lacks.</w:t>
      </w:r>
    </w:p>
    <w:p w:rsidR="00000000" w:rsidDel="00000000" w:rsidP="00000000" w:rsidRDefault="00000000" w:rsidRPr="00000000" w14:paraId="00000118">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SEC/US Framework — Enforcement-Led, Now Transitioning to Legislation</w:t>
      </w:r>
    </w:p>
    <w:p w:rsidR="00000000" w:rsidDel="00000000" w:rsidP="00000000" w:rsidRDefault="00000000" w:rsidRPr="00000000" w14:paraId="00000119">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US has had no equivalent pre-authorization architecture for crypto market participants — the SEC's posture through 2024 was enforcement-first, using existing securities law registration requirements rather than a bespoke licensing regime. The roundtable record captures this precisely: industry participants like Brennan described "years of trying to find a compliance path including S-1 attempts that were blocked," and Jennings characterized the environment as "anarcho-tyranny" — regulated by enforcement without accessible pathways.</w:t>
      </w:r>
    </w:p>
    <w:p w:rsidR="00000000" w:rsidDel="00000000" w:rsidP="00000000" w:rsidRDefault="00000000" w:rsidRPr="00000000" w14:paraId="0000011A">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That is now beginning to shift. Cross-agency collaboration has increased, with the SEC and CFTC issuing a joint statement on the trading of spot crypto products and holding a joint roundtable in September 2025, while banking regulators have meaningfully loosened prior restrictions on crypto activities. A broader market structure bill — the Digital Asset Market Clarity Act — has passed the House but still awaits Senate action, meaning the US still lacks a comprehensive authorization architecture analogous to MiCA's CASP regime for non-stablecoin crypto activities.</w:t>
      </w:r>
    </w:p>
    <w:p w:rsidR="00000000" w:rsidDel="00000000" w:rsidP="00000000" w:rsidRDefault="00000000" w:rsidRPr="00000000" w14:paraId="0000011B">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Key Structural Difference:</w:t>
      </w:r>
      <w:r w:rsidDel="00000000" w:rsidR="00000000" w:rsidRPr="00000000">
        <w:rPr>
          <w:rFonts w:ascii="Calibri" w:cs="Calibri" w:eastAsia="Calibri" w:hAnsi="Calibri"/>
          <w:sz w:val="28"/>
          <w:szCs w:val="28"/>
          <w:shd w:fill="f5f5f5" w:val="clear"/>
          <w:rtl w:val="0"/>
        </w:rPr>
        <w:t xml:space="preserve"> MiCA creates a </w:t>
      </w:r>
      <w:r w:rsidDel="00000000" w:rsidR="00000000" w:rsidRPr="00000000">
        <w:rPr>
          <w:rFonts w:ascii="Calibri" w:cs="Calibri" w:eastAsia="Calibri" w:hAnsi="Calibri"/>
          <w:i w:val="1"/>
          <w:iCs w:val="1"/>
          <w:sz w:val="28"/>
          <w:szCs w:val="28"/>
          <w:shd w:fill="f5f5f5" w:val="clear"/>
          <w:rtl w:val="0"/>
        </w:rPr>
        <w:t xml:space="preserve">single rulebook</w:t>
      </w:r>
      <w:r w:rsidDel="00000000" w:rsidR="00000000" w:rsidRPr="00000000">
        <w:rPr>
          <w:rFonts w:ascii="Calibri" w:cs="Calibri" w:eastAsia="Calibri" w:hAnsi="Calibri"/>
          <w:sz w:val="28"/>
          <w:szCs w:val="28"/>
          <w:shd w:fill="f5f5f5" w:val="clear"/>
          <w:rtl w:val="0"/>
        </w:rPr>
        <w:t xml:space="preserve"> with a EU-wide passport — one authorization travels across all 27 member states. The US framework, even post-GENIUS Act, remains fragmented across federal banking regulators, state money transmitter licenses, SEC, CFTC, and FinCEN, with no passport equivalent.</w:t>
      </w:r>
    </w:p>
    <w:p w:rsidR="00000000" w:rsidDel="00000000" w:rsidP="00000000" w:rsidRDefault="00000000" w:rsidRPr="00000000" w14:paraId="0000011C">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75uytxbx8dao" w:id="22"/>
      <w:bookmarkEnd w:id="22"/>
      <w:r w:rsidDel="00000000" w:rsidR="00000000" w:rsidRPr="00000000">
        <w:rPr>
          <w:rFonts w:ascii="Calibri" w:cs="Calibri" w:eastAsia="Calibri" w:hAnsi="Calibri"/>
          <w:b w:val="1"/>
          <w:bCs w:val="1"/>
          <w:color w:val="000000"/>
          <w:sz w:val="26"/>
          <w:szCs w:val="26"/>
          <w:shd w:fill="f5f5f5" w:val="clear"/>
          <w:rtl w:val="0"/>
        </w:rPr>
        <w:t xml:space="preserve">Dimension 2: Investor Protection</w:t>
      </w:r>
    </w:p>
    <w:p w:rsidR="00000000" w:rsidDel="00000000" w:rsidP="00000000" w:rsidRDefault="00000000" w:rsidRPr="00000000" w14:paraId="0000011E">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MiCA — Mandatory Disclosure + Personal Accountability</w:t>
      </w:r>
    </w:p>
    <w:p w:rsidR="00000000" w:rsidDel="00000000" w:rsidP="00000000" w:rsidRDefault="00000000" w:rsidRPr="00000000" w14:paraId="0000011F">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MiCA's investor protection framework centers on mandatory white papers before any public offer, marketing communication standards, and a notably aggressive enforcement posture. Fines can reach €5 million or 3–12.5% of annual turnover for legal entities, and €700,000 per instance for individuals — with more than €540 million in fines issued since MiCA's implementation as of November 2025. Personal executive liability — including bans from the industry — is explicitly built into the regime.</w:t>
      </w:r>
    </w:p>
    <w:p w:rsidR="00000000" w:rsidDel="00000000" w:rsidP="00000000" w:rsidRDefault="00000000" w:rsidRPr="00000000" w14:paraId="00000120">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MiCA requires marketing communications to be fair, clear, and non-misleading, with ESMA cautioning against implying regulatory approval where none exists.</w:t>
      </w:r>
    </w:p>
    <w:p w:rsidR="00000000" w:rsidDel="00000000" w:rsidP="00000000" w:rsidRDefault="00000000" w:rsidRPr="00000000" w14:paraId="00000121">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SEC Framework — Securities Law + Evolving Staff Guidance</w:t>
      </w:r>
    </w:p>
    <w:p w:rsidR="00000000" w:rsidDel="00000000" w:rsidP="00000000" w:rsidRDefault="00000000" w:rsidRPr="00000000" w14:paraId="00000122">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SEC's investor protection toolkit remains grounded in securities law: 10b-5 anti-fraud, registration requirements, and disclosure obligations when the Howey test is satisfied. The roundtable record shows the limitations of this approach — Brummer's "regulatory debt" concept captures precisely the problem: accumulated outdated frameworks applied to technology they weren't designed for create investor protection gaps as readily as over-regulation.</w:t>
      </w:r>
    </w:p>
    <w:p w:rsidR="00000000" w:rsidDel="00000000" w:rsidP="00000000" w:rsidRDefault="00000000" w:rsidRPr="00000000" w14:paraId="00000123">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current administration has moved toward guidance-based investor protection over enforcement. The SEC has issued staff statements on memecoins, stablecoins, and crypto ETPs, but as your knowledge base flags, staff guidance is revocable — it lacks the durability of MiCA's statutory protections. This is the core CRI interpretive value-add: tracking which US protections are durable versus which are interim.</w:t>
      </w:r>
    </w:p>
    <w:p w:rsidR="00000000" w:rsidDel="00000000" w:rsidP="00000000" w:rsidRDefault="00000000" w:rsidRPr="00000000" w14:paraId="00000124">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Key Structural Difference:</w:t>
      </w:r>
      <w:r w:rsidDel="00000000" w:rsidR="00000000" w:rsidRPr="00000000">
        <w:rPr>
          <w:rFonts w:ascii="Calibri" w:cs="Calibri" w:eastAsia="Calibri" w:hAnsi="Calibri"/>
          <w:sz w:val="28"/>
          <w:szCs w:val="28"/>
          <w:shd w:fill="f5f5f5" w:val="clear"/>
          <w:rtl w:val="0"/>
        </w:rPr>
        <w:t xml:space="preserve"> MiCA's investor protections are statutory, uniform across the EU, and backed by significant enforcement budgets. SEC protections for crypto remain largely interpretive overlays on 1930s statutes, with durability contingent on administration posture.</w:t>
      </w:r>
    </w:p>
    <w:p w:rsidR="00000000" w:rsidDel="00000000" w:rsidP="00000000" w:rsidRDefault="00000000" w:rsidRPr="00000000" w14:paraId="00000125">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ffpuzquzg1ga" w:id="23"/>
      <w:bookmarkEnd w:id="23"/>
      <w:r w:rsidDel="00000000" w:rsidR="00000000" w:rsidRPr="00000000">
        <w:rPr>
          <w:rFonts w:ascii="Calibri" w:cs="Calibri" w:eastAsia="Calibri" w:hAnsi="Calibri"/>
          <w:b w:val="1"/>
          <w:bCs w:val="1"/>
          <w:color w:val="000000"/>
          <w:sz w:val="26"/>
          <w:szCs w:val="26"/>
          <w:shd w:fill="f5f5f5" w:val="clear"/>
          <w:rtl w:val="0"/>
        </w:rPr>
        <w:t xml:space="preserve">Dimension 3: Stablecoin Oversight</w:t>
      </w:r>
    </w:p>
    <w:p w:rsidR="00000000" w:rsidDel="00000000" w:rsidP="00000000" w:rsidRDefault="00000000" w:rsidRPr="00000000" w14:paraId="00000127">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This is where the most direct and consequential comparison sits, and where the two regimes are now in explicit dialogue.</w:t>
      </w:r>
    </w:p>
    <w:p w:rsidR="00000000" w:rsidDel="00000000" w:rsidP="00000000" w:rsidRDefault="00000000" w:rsidRPr="00000000" w14:paraId="00000128">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MiCA — Pre-Authorization, Reserve Requirements, Significant-Issuer Escalation</w:t>
      </w:r>
    </w:p>
    <w:p w:rsidR="00000000" w:rsidDel="00000000" w:rsidP="00000000" w:rsidRDefault="00000000" w:rsidRPr="00000000" w14:paraId="00000129">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MiCA distinguishes two stablecoin categories: Asset-Referenced Tokens (ARTs, backed by a basket of assets) and E-Money Tokens (EMTs, pegged 1:1 to a single fiat currency). Stablecoin issuers must maintain reserve assets, ensure redeemability at par value, and implement adequate risk management frameworks, with large-scale issuance potentially triggering enhanced oversight due to systemic risk concerns.</w:t>
      </w:r>
    </w:p>
    <w:p w:rsidR="00000000" w:rsidDel="00000000" w:rsidP="00000000" w:rsidRDefault="00000000" w:rsidRPr="00000000" w14:paraId="0000012A">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market impact has been immediate and blunt: CASPs have been expected to restrict services supporting non-MiCA compliant stablecoins, with ESMA directing that CASPs stop making non-compliant ARTs and EMTs available for trading. In practice, of the top ten stablecoins by market cap, only USDC is in compliance with MiCA's new rules as of current data. USDT — the dominant global stablecoin — is effectively blocked from EU trading platforms, representing a significant market structure consequence.</w:t>
      </w:r>
    </w:p>
    <w:p w:rsidR="00000000" w:rsidDel="00000000" w:rsidP="00000000" w:rsidRDefault="00000000" w:rsidRPr="00000000" w14:paraId="0000012B">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A known structural problem: the dual licensing concern between MiCA and PSD2 creates compliance overlap for EMT custody, with industry leaders warning this undermines Euro stablecoin competitiveness and the European Commission facing pressure to resolve it.</w:t>
      </w:r>
    </w:p>
    <w:p w:rsidR="00000000" w:rsidDel="00000000" w:rsidP="00000000" w:rsidRDefault="00000000" w:rsidRPr="00000000" w14:paraId="0000012C">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GENIUS Act — Reserve-Backed, OCC/Banking-Supervised, Non-Security Carve-Out</w:t>
      </w:r>
    </w:p>
    <w:p w:rsidR="00000000" w:rsidDel="00000000" w:rsidP="00000000" w:rsidRDefault="00000000" w:rsidRPr="00000000" w14:paraId="0000012D">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GENIUS Act, signed July 18, 2025, establishes that a payment stablecoin issued by a permitted issuer is not a "security" under US federal securities laws or a "commodity" under the Commodity Exchange Act — explicitly removing it from SEC and CFTC oversight. This is the foundational architectural choice that diverges from MiCA: the US routes stablecoin oversight through the banking system (OCC for nonbank issuers, primary banking regulator for bank subsidiaries), not the capital markets regulator.</w:t>
      </w:r>
    </w:p>
    <w:p w:rsidR="00000000" w:rsidDel="00000000" w:rsidP="00000000" w:rsidRDefault="00000000" w:rsidRPr="00000000" w14:paraId="0000012E">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Issuers must back stablecoins with 1:1 reserves of cash or short-term Treasuries and disclose reserves monthly, with stablecoin holders receiving priority claims over creditors in insolvency. Algorithmic stablecoins are excluded from the GENIUS Act framework entirely. The effective date is January 2027 (or 120 days after implementing regulations, whichever comes first).</w:t>
      </w:r>
    </w:p>
    <w:p w:rsidR="00000000" w:rsidDel="00000000" w:rsidP="00000000" w:rsidRDefault="00000000" w:rsidRPr="00000000" w14:paraId="0000012F">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Convergence and Divergence Signal</w:t>
      </w:r>
    </w:p>
    <w:p w:rsidR="00000000" w:rsidDel="00000000" w:rsidP="00000000" w:rsidRDefault="00000000" w:rsidRPr="00000000" w14:paraId="00000130">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Both US and EU frameworks are beginning to reconfigure global stablecoin usage patterns — Europe has seen rotation toward MiCA-compliant stablecoins, while the GENIUS Act restricts the domestic offering of foreign-issued stablecoins. The two regimes are converging on reserve requirements and AML obligations but diverging on the critical question of whether stablecoin oversight belongs to banking regulators or capital markets regulators. MiCA does not include mutual recognition provisions, meaning multi-issuance would be the only route to interoperability between the two regimes.</w:t>
      </w:r>
    </w:p>
    <w:p w:rsidR="00000000" w:rsidDel="00000000" w:rsidP="00000000" w:rsidRDefault="00000000" w:rsidRPr="00000000" w14:paraId="00000131">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x9hqwgpk4jsk" w:id="24"/>
      <w:bookmarkEnd w:id="24"/>
      <w:r w:rsidDel="00000000" w:rsidR="00000000" w:rsidRPr="00000000">
        <w:rPr>
          <w:rFonts w:ascii="Calibri" w:cs="Calibri" w:eastAsia="Calibri" w:hAnsi="Calibri"/>
          <w:b w:val="1"/>
          <w:bCs w:val="1"/>
          <w:color w:val="000000"/>
          <w:sz w:val="26"/>
          <w:szCs w:val="26"/>
          <w:shd w:fill="f5f5f5" w:val="clear"/>
          <w:rtl w:val="0"/>
        </w:rPr>
        <w:t xml:space="preserve">CRI Strategic Implications</w:t>
      </w:r>
    </w:p>
    <w:p w:rsidR="00000000" w:rsidDel="00000000" w:rsidP="00000000" w:rsidRDefault="00000000" w:rsidRPr="00000000" w14:paraId="00000133">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Three intelligence product opportunities this comparison surfaces directly:</w:t>
      </w:r>
    </w:p>
    <w:p w:rsidR="00000000" w:rsidDel="00000000" w:rsidP="00000000" w:rsidRDefault="00000000" w:rsidRPr="00000000" w14:paraId="00000134">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1. Custody Rule Rulemaking — MiCA Reference Point</w:t>
      </w:r>
      <w:r w:rsidDel="00000000" w:rsidR="00000000" w:rsidRPr="00000000">
        <w:rPr>
          <w:rFonts w:ascii="Calibri" w:cs="Calibri" w:eastAsia="Calibri" w:hAnsi="Calibri"/>
          <w:sz w:val="28"/>
          <w:szCs w:val="28"/>
          <w:shd w:fill="f5f5f5" w:val="clear"/>
          <w:rtl w:val="0"/>
        </w:rPr>
        <w:t xml:space="preserve"> MiCA's CASP authorization requirements for custody services provide a concrete comparator for the SEC's pending custody rule modernization. The EU has resolved several questions the US has not — segregation of client assets, reserve composition for custodied stablecoins, and personal liability for custody failures. Your clients watching the custody rulemaking timeline can use MiCA's architecture as a forecast signal.</w:t>
      </w:r>
    </w:p>
    <w:p w:rsidR="00000000" w:rsidDel="00000000" w:rsidP="00000000" w:rsidRDefault="00000000" w:rsidRPr="00000000" w14:paraId="00000135">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2. GENIUS Act Implementation Gap — Broker-Dealer Exposure</w:t>
      </w:r>
      <w:r w:rsidDel="00000000" w:rsidR="00000000" w:rsidRPr="00000000">
        <w:rPr>
          <w:rFonts w:ascii="Calibri" w:cs="Calibri" w:eastAsia="Calibri" w:hAnsi="Calibri"/>
          <w:sz w:val="28"/>
          <w:szCs w:val="28"/>
          <w:shd w:fill="f5f5f5" w:val="clear"/>
          <w:rtl w:val="0"/>
        </w:rPr>
        <w:t xml:space="preserve"> SEC staff guidance issued in May 2025 paved the way for SEC-registered broker-dealers to provide custody of stablecoins, but both Chair Atkins and Commissioner Peirce have requested further guidance or rulemaking in light of the GENIUS Act. This is precisely the SPBD transition gap on your 2026 priority list — broker-dealers operating in the stablecoin space face overlapping GENIUS Act requirements, SEC custody guidance, and FINRA rules with no consolidated compliance map yet written.</w:t>
      </w:r>
    </w:p>
    <w:p w:rsidR="00000000" w:rsidDel="00000000" w:rsidP="00000000" w:rsidRDefault="00000000" w:rsidRPr="00000000" w14:paraId="00000136">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3. Durability Watch — Staff Guidance vs. Statutory Baseline</w:t>
      </w:r>
      <w:r w:rsidDel="00000000" w:rsidR="00000000" w:rsidRPr="00000000">
        <w:rPr>
          <w:rFonts w:ascii="Calibri" w:cs="Calibri" w:eastAsia="Calibri" w:hAnsi="Calibri"/>
          <w:sz w:val="28"/>
          <w:szCs w:val="28"/>
          <w:shd w:fill="f5f5f5" w:val="clear"/>
          <w:rtl w:val="0"/>
        </w:rPr>
        <w:t xml:space="preserve"> The sharpest CRI value-add in this comparison is the durability distinction. MiCA's investor protections and stablecoin requirements are statutory — they survive administration changes. The current US regime is built significantly on staff guidance and executive orders, including the Atkins-era crypto task force outputs. Any CRI intelligence product comparing the two regimes should flag this asymmetry prominently for compliance clients who need to distinguish durable regulatory baselines from interim postures.</w:t>
      </w:r>
    </w:p>
    <w:p w:rsidR="00000000" w:rsidDel="00000000" w:rsidP="00000000" w:rsidRDefault="00000000" w:rsidRPr="00000000" w14:paraId="00000137">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Question 3</w:t>
      </w:r>
    </w:p>
    <w:p w:rsidR="00000000" w:rsidDel="00000000" w:rsidP="00000000" w:rsidRDefault="00000000" w:rsidRPr="00000000" w14:paraId="00000138">
      <w:pPr>
        <w:spacing w:after="160" w:line="259" w:lineRule="auto"/>
        <w:rPr>
          <w:rFonts w:ascii="Calibri" w:cs="Calibri" w:eastAsia="Calibri" w:hAnsi="Calibri"/>
          <w:b w:val="1"/>
          <w:bCs w:val="1"/>
          <w:sz w:val="28"/>
          <w:szCs w:val="28"/>
          <w:highlight w:val="green"/>
        </w:rPr>
      </w:pPr>
      <w:r w:rsidDel="00000000" w:rsidR="00000000" w:rsidRPr="00000000">
        <w:rPr>
          <w:rFonts w:ascii="Calibri" w:cs="Calibri" w:eastAsia="Calibri" w:hAnsi="Calibri"/>
          <w:b w:val="1"/>
          <w:bCs w:val="1"/>
          <w:sz w:val="28"/>
          <w:szCs w:val="28"/>
          <w:highlight w:val="green"/>
          <w:rtl w:val="0"/>
        </w:rPr>
        <w:t xml:space="preserve">Using historical SEC task force data, what precedents exist for shifting from enforcement-first to policy-led approaches?</w:t>
      </w:r>
    </w:p>
    <w:p w:rsidR="00000000" w:rsidDel="00000000" w:rsidP="00000000" w:rsidRDefault="00000000" w:rsidRPr="00000000" w14:paraId="00000139">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CRI:</w:t>
      </w:r>
    </w:p>
    <w:p w:rsidR="00000000" w:rsidDel="00000000" w:rsidP="00000000" w:rsidRDefault="00000000" w:rsidRPr="00000000" w14:paraId="0000013A">
      <w:pPr>
        <w:spacing w:after="240" w:before="240" w:line="259" w:lineRule="auto"/>
        <w:jc w:val="both"/>
        <w:rPr>
          <w:shd w:fill="f5f5f5" w:val="clear"/>
        </w:rPr>
      </w:pPr>
      <w:r w:rsidDel="00000000" w:rsidR="00000000" w:rsidRPr="00000000">
        <w:rPr>
          <w:shd w:fill="f5f5f5" w:val="clear"/>
          <w:rtl w:val="0"/>
        </w:rPr>
        <w:t xml:space="preserve">Short answer (executive summary) - The clearest, documented precedent in the SEC record for moving from an “enforcement-first” posture to a policy‑led approach is the SEC Crypto Task Force itself — and the surrounding actions (roundtables, rescission of staff guidance, solicitation of written input, use of no‑action/exemptive pathways and proposals for rulemaking or safe harbors). SEC materials and stakeholder submissions show (1) an explicit managerial intent to pivot to rulemaking/interpretation and (2) the concrete tools used to operationalize that pivot — and (3) active debate about whether guidance/no‑action steps are sufficiently transparent compared with formal rulemaking. - Key evidence: Commissioners’ speeches and the SEC Agency report announcing task forces; the “Journey Begins” statement (rescission of Staff Accounting Bulletin 121, invitation to public input, and explicit aim to move to rulemaking); industry written inputs urging safe harbors and control‑based frameworks; and critical responses warning against substituting guidance/no‑action for notice‑and‑comment rulemaking.</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Evidence (selected items from SEC task‑force materials)</w:t>
      </w:r>
    </w:p>
    <w:p w:rsidR="00000000" w:rsidDel="00000000" w:rsidP="00000000" w:rsidRDefault="00000000" w:rsidRPr="00000000" w14:paraId="0000013C">
      <w:pPr>
        <w:numPr>
          <w:ilvl w:val="0"/>
          <w:numId w:val="75"/>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Chair / senior official statement committing to policy‑first approach</w:t>
      </w:r>
    </w:p>
    <w:p w:rsidR="00000000" w:rsidDel="00000000" w:rsidP="00000000" w:rsidRDefault="00000000" w:rsidRPr="00000000" w14:paraId="0000013D">
      <w:pPr>
        <w:numPr>
          <w:ilvl w:val="0"/>
          <w:numId w:val="11"/>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Source: Keynote Address at the Crypto Task Force Roundtable on Tokenization (Paul S. Atkins)</w:t>
      </w:r>
    </w:p>
    <w:p w:rsidR="00000000" w:rsidDel="00000000" w:rsidP="00000000" w:rsidRDefault="00000000" w:rsidRPr="00000000" w14:paraId="0000013E">
      <w:pPr>
        <w:numPr>
          <w:ilvl w:val="0"/>
          <w:numId w:val="11"/>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Relevance score: 9.13</w:t>
      </w:r>
    </w:p>
    <w:p w:rsidR="00000000" w:rsidDel="00000000" w:rsidP="00000000" w:rsidRDefault="00000000" w:rsidRPr="00000000" w14:paraId="0000013F">
      <w:pPr>
        <w:numPr>
          <w:ilvl w:val="0"/>
          <w:numId w:val="11"/>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Snippet: “Policymaking will no longer result from ad hoc enforcement actions. Instead, the Commission will utilize its existing rulemaking, interpretive, and exemptive authorities to set fit‑for‑purpose standards… The Commission’s enforcement approach will return to Congress’ original intent…”</w:t>
      </w:r>
    </w:p>
    <w:p w:rsidR="00000000" w:rsidDel="00000000" w:rsidP="00000000" w:rsidRDefault="00000000" w:rsidRPr="00000000" w14:paraId="00000140">
      <w:pPr>
        <w:numPr>
          <w:ilvl w:val="0"/>
          <w:numId w:val="11"/>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URL: </w:t>
      </w:r>
      <w:hyperlink r:id="rId33">
        <w:r w:rsidDel="00000000" w:rsidR="00000000" w:rsidRPr="00000000">
          <w:rPr>
            <w:sz w:val="28"/>
            <w:szCs w:val="28"/>
            <w:u w:val="single"/>
            <w:shd w:fill="f5f5f5" w:val="clear"/>
            <w:rtl w:val="0"/>
          </w:rPr>
          <w:t xml:space="preserve">https://www.sec.gov/newsroom/speeches-statements/atkins-remarks-crypto-roundtable-tokenization-051225</w:t>
        </w:r>
      </w:hyperlink>
      <w:r w:rsidDel="00000000" w:rsidR="00000000" w:rsidRPr="00000000">
        <w:rPr>
          <w:rtl w:val="0"/>
        </w:rPr>
      </w:r>
    </w:p>
    <w:p w:rsidR="00000000" w:rsidDel="00000000" w:rsidP="00000000" w:rsidRDefault="00000000" w:rsidRPr="00000000" w14:paraId="00000141">
      <w:pPr>
        <w:numPr>
          <w:ilvl w:val="0"/>
          <w:numId w:val="58"/>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Task force launch + concrete policy actions and tools (public engagement, rescission of staff guidance)</w:t>
      </w:r>
    </w:p>
    <w:p w:rsidR="00000000" w:rsidDel="00000000" w:rsidP="00000000" w:rsidRDefault="00000000" w:rsidRPr="00000000" w14:paraId="00000142">
      <w:pPr>
        <w:numPr>
          <w:ilvl w:val="0"/>
          <w:numId w:val="7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Source: “The Journey Begins” (Commissioner Hester M. Peirce)</w:t>
      </w:r>
    </w:p>
    <w:p w:rsidR="00000000" w:rsidDel="00000000" w:rsidP="00000000" w:rsidRDefault="00000000" w:rsidRPr="00000000" w14:paraId="00000143">
      <w:pPr>
        <w:numPr>
          <w:ilvl w:val="0"/>
          <w:numId w:val="7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Relevance score: 8.86</w:t>
      </w:r>
    </w:p>
    <w:p w:rsidR="00000000" w:rsidDel="00000000" w:rsidP="00000000" w:rsidRDefault="00000000" w:rsidRPr="00000000" w14:paraId="00000144">
      <w:pPr>
        <w:numPr>
          <w:ilvl w:val="0"/>
          <w:numId w:val="7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Snippet: “…the Task Force wants to travel to a destination where people have great freedom to experiment… The Commission staff already has achieved one milestone—the rescission of Staff Accounting Bulletin 121… The Task Force will consider… temporary prospective and retroactive relief… no‑action letters… modify existing paths to registration… custody solutions… crypto‑lending and staking…”</w:t>
      </w:r>
    </w:p>
    <w:p w:rsidR="00000000" w:rsidDel="00000000" w:rsidP="00000000" w:rsidRDefault="00000000" w:rsidRPr="00000000" w14:paraId="00000145">
      <w:pPr>
        <w:numPr>
          <w:ilvl w:val="0"/>
          <w:numId w:val="7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URL: </w:t>
      </w:r>
      <w:hyperlink r:id="rId34">
        <w:r w:rsidDel="00000000" w:rsidR="00000000" w:rsidRPr="00000000">
          <w:rPr>
            <w:sz w:val="28"/>
            <w:szCs w:val="28"/>
            <w:u w:val="single"/>
            <w:shd w:fill="f5f5f5" w:val="clear"/>
            <w:rtl w:val="0"/>
          </w:rPr>
          <w:t xml:space="preserve">https://www.sec.gov/newsroom/speeches-statements/peirce-journey-begins-020425</w:t>
        </w:r>
      </w:hyperlink>
      <w:r w:rsidDel="00000000" w:rsidR="00000000" w:rsidRPr="00000000">
        <w:rPr>
          <w:rtl w:val="0"/>
        </w:rPr>
      </w:r>
    </w:p>
    <w:p w:rsidR="00000000" w:rsidDel="00000000" w:rsidP="00000000" w:rsidRDefault="00000000" w:rsidRPr="00000000" w14:paraId="00000146">
      <w:pPr>
        <w:numPr>
          <w:ilvl w:val="0"/>
          <w:numId w:val="26"/>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Institutionalization of task‑force approach across SEC</w:t>
      </w:r>
    </w:p>
    <w:p w:rsidR="00000000" w:rsidDel="00000000" w:rsidP="00000000" w:rsidRDefault="00000000" w:rsidRPr="00000000" w14:paraId="00000147">
      <w:pPr>
        <w:numPr>
          <w:ilvl w:val="0"/>
          <w:numId w:val="36"/>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Source: SEC Agency Financial Report (2025)</w:t>
      </w:r>
    </w:p>
    <w:p w:rsidR="00000000" w:rsidDel="00000000" w:rsidP="00000000" w:rsidRDefault="00000000" w:rsidRPr="00000000" w14:paraId="00000148">
      <w:pPr>
        <w:numPr>
          <w:ilvl w:val="0"/>
          <w:numId w:val="36"/>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Relevance score: 8.91</w:t>
      </w:r>
    </w:p>
    <w:p w:rsidR="00000000" w:rsidDel="00000000" w:rsidP="00000000" w:rsidRDefault="00000000" w:rsidRPr="00000000" w14:paraId="00000149">
      <w:pPr>
        <w:numPr>
          <w:ilvl w:val="0"/>
          <w:numId w:val="36"/>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Snippet: “Task Forces … In addition to the Crypto Task Force, the SEC … announced the launch of a task force on artificial intelligence (AI) … Cross‑Border Task Force … strengthen and enhance the Division of Enforcement’s efforts …” — indicates use of task forces as a formal mechanism for policy design/coordinated action.</w:t>
      </w:r>
    </w:p>
    <w:p w:rsidR="00000000" w:rsidDel="00000000" w:rsidP="00000000" w:rsidRDefault="00000000" w:rsidRPr="00000000" w14:paraId="0000014A">
      <w:pPr>
        <w:numPr>
          <w:ilvl w:val="0"/>
          <w:numId w:val="36"/>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URL: </w:t>
      </w:r>
      <w:hyperlink r:id="rId35">
        <w:r w:rsidDel="00000000" w:rsidR="00000000" w:rsidRPr="00000000">
          <w:rPr>
            <w:sz w:val="28"/>
            <w:szCs w:val="28"/>
            <w:u w:val="single"/>
            <w:shd w:fill="f5f5f5" w:val="clear"/>
            <w:rtl w:val="0"/>
          </w:rPr>
          <w:t xml:space="preserve">https://www.sec.gov/files/sec-2025-agency-financial-report.pdf</w:t>
        </w:r>
      </w:hyperlink>
      <w:r w:rsidDel="00000000" w:rsidR="00000000" w:rsidRPr="00000000">
        <w:rPr>
          <w:sz w:val="28"/>
          <w:szCs w:val="28"/>
          <w:shd w:fill="f5f5f5" w:val="clear"/>
          <w:rtl w:val="0"/>
        </w:rPr>
        <w:t xml:space="preserve"> (page 14)</w:t>
      </w:r>
    </w:p>
    <w:p w:rsidR="00000000" w:rsidDel="00000000" w:rsidP="00000000" w:rsidRDefault="00000000" w:rsidRPr="00000000" w14:paraId="0000014B">
      <w:pPr>
        <w:numPr>
          <w:ilvl w:val="0"/>
          <w:numId w:val="55"/>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Demonstrated use of public inputs and industry proposals to convert enforcement issues into policy proposals (safe harbors, frameworks)</w:t>
      </w:r>
    </w:p>
    <w:p w:rsidR="00000000" w:rsidDel="00000000" w:rsidP="00000000" w:rsidRDefault="00000000" w:rsidRPr="00000000" w14:paraId="0000014C">
      <w:pPr>
        <w:numPr>
          <w:ilvl w:val="0"/>
          <w:numId w:val="3"/>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Source: DeFi Education Fund — Token Safe Harbor Guiding Principles</w:t>
      </w:r>
    </w:p>
    <w:p w:rsidR="00000000" w:rsidDel="00000000" w:rsidP="00000000" w:rsidRDefault="00000000" w:rsidRPr="00000000" w14:paraId="0000014D">
      <w:pPr>
        <w:numPr>
          <w:ilvl w:val="0"/>
          <w:numId w:val="3"/>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Relevance score: 7.40</w:t>
      </w:r>
    </w:p>
    <w:p w:rsidR="00000000" w:rsidDel="00000000" w:rsidP="00000000" w:rsidRDefault="00000000" w:rsidRPr="00000000" w14:paraId="0000014E">
      <w:pPr>
        <w:numPr>
          <w:ilvl w:val="0"/>
          <w:numId w:val="3"/>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Snippet: “Past SEC enforcement actions demonstrate the risk … The Safe Harbor should be technology‑agnostic… Disclosure requirements should be calibrated…”</w:t>
      </w:r>
    </w:p>
    <w:p w:rsidR="00000000" w:rsidDel="00000000" w:rsidP="00000000" w:rsidRDefault="00000000" w:rsidRPr="00000000" w14:paraId="0000014F">
      <w:pPr>
        <w:numPr>
          <w:ilvl w:val="0"/>
          <w:numId w:val="3"/>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URL: </w:t>
      </w:r>
      <w:hyperlink r:id="rId36">
        <w:r w:rsidDel="00000000" w:rsidR="00000000" w:rsidRPr="00000000">
          <w:rPr>
            <w:sz w:val="28"/>
            <w:szCs w:val="28"/>
            <w:u w:val="single"/>
            <w:shd w:fill="f5f5f5" w:val="clear"/>
            <w:rtl w:val="0"/>
          </w:rPr>
          <w:t xml:space="preserve">https://www.sec.gov/files/ctf-written-input-defi-education-fund-041825.pdf</w:t>
        </w:r>
      </w:hyperlink>
      <w:r w:rsidDel="00000000" w:rsidR="00000000" w:rsidRPr="00000000">
        <w:rPr>
          <w:rtl w:val="0"/>
        </w:rPr>
      </w:r>
    </w:p>
    <w:p w:rsidR="00000000" w:rsidDel="00000000" w:rsidP="00000000" w:rsidRDefault="00000000" w:rsidRPr="00000000" w14:paraId="00000150">
      <w:pPr>
        <w:numPr>
          <w:ilvl w:val="0"/>
          <w:numId w:val="8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Industry proposals for policy frameworks (control‑based, safe harbors)</w:t>
      </w:r>
    </w:p>
    <w:p w:rsidR="00000000" w:rsidDel="00000000" w:rsidP="00000000" w:rsidRDefault="00000000" w:rsidRPr="00000000" w14:paraId="00000151">
      <w:pPr>
        <w:numPr>
          <w:ilvl w:val="0"/>
          <w:numId w:val="54"/>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Source: a16z written input</w:t>
      </w:r>
    </w:p>
    <w:p w:rsidR="00000000" w:rsidDel="00000000" w:rsidP="00000000" w:rsidRDefault="00000000" w:rsidRPr="00000000" w14:paraId="00000152">
      <w:pPr>
        <w:numPr>
          <w:ilvl w:val="0"/>
          <w:numId w:val="54"/>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Relevance score: 8.61</w:t>
      </w:r>
    </w:p>
    <w:p w:rsidR="00000000" w:rsidDel="00000000" w:rsidP="00000000" w:rsidRDefault="00000000" w:rsidRPr="00000000" w14:paraId="00000153">
      <w:pPr>
        <w:numPr>
          <w:ilvl w:val="0"/>
          <w:numId w:val="54"/>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Snippet: “A control‑based decentralization framework is a technologically neutral way to achieve that… establish compliant pathways for network tokens, including a safe harbor for certain airdrops and incentive‑based rewards.”</w:t>
      </w:r>
    </w:p>
    <w:p w:rsidR="00000000" w:rsidDel="00000000" w:rsidP="00000000" w:rsidRDefault="00000000" w:rsidRPr="00000000" w14:paraId="00000154">
      <w:pPr>
        <w:numPr>
          <w:ilvl w:val="0"/>
          <w:numId w:val="54"/>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URL: </w:t>
      </w:r>
      <w:hyperlink r:id="rId37">
        <w:r w:rsidDel="00000000" w:rsidR="00000000" w:rsidRPr="00000000">
          <w:rPr>
            <w:sz w:val="28"/>
            <w:szCs w:val="28"/>
            <w:u w:val="single"/>
            <w:shd w:fill="f5f5f5" w:val="clear"/>
            <w:rtl w:val="0"/>
          </w:rPr>
          <w:t xml:space="preserve">https://www.sec.gov/files/a16z-crypto-response-sec-rfi-questions-1-6-03132025.pdf</w:t>
        </w:r>
      </w:hyperlink>
      <w:r w:rsidDel="00000000" w:rsidR="00000000" w:rsidRPr="00000000">
        <w:rPr>
          <w:rtl w:val="0"/>
        </w:rPr>
      </w:r>
    </w:p>
    <w:p w:rsidR="00000000" w:rsidDel="00000000" w:rsidP="00000000" w:rsidRDefault="00000000" w:rsidRPr="00000000" w14:paraId="00000155">
      <w:pPr>
        <w:numPr>
          <w:ilvl w:val="0"/>
          <w:numId w:val="47"/>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Critiques and cautionary precedents: concern about switching enforcement outcomes into de facto policy without public rulemaking</w:t>
      </w:r>
    </w:p>
    <w:p w:rsidR="00000000" w:rsidDel="00000000" w:rsidP="00000000" w:rsidRDefault="00000000" w:rsidRPr="00000000" w14:paraId="00000156">
      <w:pPr>
        <w:numPr>
          <w:ilvl w:val="0"/>
          <w:numId w:val="1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Source: Better Markets feedback to the Crypto Task Force</w:t>
      </w:r>
    </w:p>
    <w:p w:rsidR="00000000" w:rsidDel="00000000" w:rsidP="00000000" w:rsidRDefault="00000000" w:rsidRPr="00000000" w14:paraId="00000157">
      <w:pPr>
        <w:numPr>
          <w:ilvl w:val="0"/>
          <w:numId w:val="1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Relevance score: 6.93</w:t>
      </w:r>
    </w:p>
    <w:p w:rsidR="00000000" w:rsidDel="00000000" w:rsidP="00000000" w:rsidRDefault="00000000" w:rsidRPr="00000000" w14:paraId="00000158">
      <w:pPr>
        <w:numPr>
          <w:ilvl w:val="0"/>
          <w:numId w:val="1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Snippet: “The Crypto Task Force should prioritize notice‑and‑comment rulemaking over guidance documents… The use of guidance documents undermines legitimacy and avoids necessary procedural rigor.”</w:t>
      </w:r>
    </w:p>
    <w:p w:rsidR="00000000" w:rsidDel="00000000" w:rsidP="00000000" w:rsidRDefault="00000000" w:rsidRPr="00000000" w14:paraId="00000159">
      <w:pPr>
        <w:numPr>
          <w:ilvl w:val="0"/>
          <w:numId w:val="1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URL: </w:t>
      </w:r>
      <w:hyperlink r:id="rId38">
        <w:r w:rsidDel="00000000" w:rsidR="00000000" w:rsidRPr="00000000">
          <w:rPr>
            <w:sz w:val="28"/>
            <w:szCs w:val="28"/>
            <w:u w:val="single"/>
            <w:shd w:fill="f5f5f5" w:val="clear"/>
            <w:rtl w:val="0"/>
          </w:rPr>
          <w:t xml:space="preserve">https://www.sec.gov/files/rules/other/2025/better-markets-comment-letter-061125.pdf</w:t>
        </w:r>
      </w:hyperlink>
      <w:r w:rsidDel="00000000" w:rsidR="00000000" w:rsidRPr="00000000">
        <w:rPr>
          <w:rtl w:val="0"/>
        </w:rPr>
      </w:r>
    </w:p>
    <w:p w:rsidR="00000000" w:rsidDel="00000000" w:rsidP="00000000" w:rsidRDefault="00000000" w:rsidRPr="00000000" w14:paraId="0000015A">
      <w:pPr>
        <w:numPr>
          <w:ilvl w:val="0"/>
          <w:numId w:val="1"/>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Examples of harms attributed to enforcement‑first prior policy (arguing need for change)</w:t>
      </w:r>
    </w:p>
    <w:p w:rsidR="00000000" w:rsidDel="00000000" w:rsidP="00000000" w:rsidRDefault="00000000" w:rsidRPr="00000000" w14:paraId="0000015B">
      <w:pPr>
        <w:numPr>
          <w:ilvl w:val="0"/>
          <w:numId w:val="56"/>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Source: LBRY memo / public submissions referencing past enforcement approach</w:t>
      </w:r>
    </w:p>
    <w:p w:rsidR="00000000" w:rsidDel="00000000" w:rsidP="00000000" w:rsidRDefault="00000000" w:rsidRPr="00000000" w14:paraId="0000015C">
      <w:pPr>
        <w:numPr>
          <w:ilvl w:val="0"/>
          <w:numId w:val="56"/>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Relevance score: 8.64</w:t>
      </w:r>
    </w:p>
    <w:p w:rsidR="00000000" w:rsidDel="00000000" w:rsidP="00000000" w:rsidRDefault="00000000" w:rsidRPr="00000000" w14:paraId="0000015D">
      <w:pPr>
        <w:numPr>
          <w:ilvl w:val="0"/>
          <w:numId w:val="56"/>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Snippet: “…the approach taken, characterized by an ‘enforcement‑first’ rather than a ‘guidance‑first’ strategy, created substantial uncertainty…”</w:t>
      </w:r>
    </w:p>
    <w:p w:rsidR="00000000" w:rsidDel="00000000" w:rsidP="00000000" w:rsidRDefault="00000000" w:rsidRPr="00000000" w14:paraId="0000015E">
      <w:pPr>
        <w:numPr>
          <w:ilvl w:val="0"/>
          <w:numId w:val="56"/>
        </w:numPr>
        <w:pBdr>
          <w:top w:color="auto" w:space="0" w:sz="0" w:val="none"/>
          <w:bottom w:color="auto" w:space="0" w:sz="0" w:val="none"/>
          <w:right w:color="auto" w:space="0" w:sz="0" w:val="none"/>
          <w:between w:color="auto" w:space="0" w:sz="0" w:val="none"/>
        </w:pBdr>
        <w:shd w:fill="0b1120" w:val="clear"/>
        <w:spacing w:after="28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URL: </w:t>
      </w:r>
      <w:hyperlink r:id="rId39">
        <w:r w:rsidDel="00000000" w:rsidR="00000000" w:rsidRPr="00000000">
          <w:rPr>
            <w:sz w:val="28"/>
            <w:szCs w:val="28"/>
            <w:u w:val="single"/>
            <w:shd w:fill="f5f5f5" w:val="clear"/>
            <w:rtl w:val="0"/>
          </w:rPr>
          <w:t xml:space="preserve">https://www.sec.gov/files/ctf-memo-adam-tomas-brad-tonkin-072125.pdf</w:t>
        </w:r>
      </w:hyperlink>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What these precedents show (mechanisms and outcomes)</w:t>
      </w:r>
    </w:p>
    <w:p w:rsidR="00000000" w:rsidDel="00000000" w:rsidP="00000000" w:rsidRDefault="00000000" w:rsidRPr="00000000" w14:paraId="00000160">
      <w:pPr>
        <w:numPr>
          <w:ilvl w:val="0"/>
          <w:numId w:val="34"/>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How the shift is announced: senior officials publicly state a policy reorientation (see Atkins keynote and Peirce statement). Those speeches are paired with formation of cross‑agency task forces (crypto, AI, cross‑border) — institutional signals that the SEC will coordinate policy across divisions rather than rely solely on Enforcement.</w:t>
      </w:r>
    </w:p>
    <w:p w:rsidR="00000000" w:rsidDel="00000000" w:rsidP="00000000" w:rsidRDefault="00000000" w:rsidRPr="00000000" w14:paraId="00000161">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Atkins speech (score 9.13), “Journey Begins” (8.86), SEC Agency Report (8.91).</w:t>
      </w:r>
    </w:p>
    <w:p w:rsidR="00000000" w:rsidDel="00000000" w:rsidP="00000000" w:rsidRDefault="00000000" w:rsidRPr="00000000" w14:paraId="00000162">
      <w:pPr>
        <w:numPr>
          <w:ilvl w:val="0"/>
          <w:numId w:val="34"/>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Tools used in the transition:</w:t>
      </w:r>
    </w:p>
    <w:p w:rsidR="00000000" w:rsidDel="00000000" w:rsidP="00000000" w:rsidRDefault="00000000" w:rsidRPr="00000000" w14:paraId="00000163">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Roundtables and broad public solicitation of written input (task‑force roundtables and “on the road” outreach). (see Task Force meetings materials and “On the Road”)</w:t>
      </w:r>
    </w:p>
    <w:p w:rsidR="00000000" w:rsidDel="00000000" w:rsidP="00000000" w:rsidRDefault="00000000" w:rsidRPr="00000000" w14:paraId="00000164">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Staff guidance rescissions (e.g., SAB 121 rescission cited as a milestone in the Task Force statement).</w:t>
      </w:r>
    </w:p>
    <w:p w:rsidR="00000000" w:rsidDel="00000000" w:rsidP="00000000" w:rsidRDefault="00000000" w:rsidRPr="00000000" w14:paraId="00000165">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No‑action letters, exemptive relief and proposed safe‑harbor frameworks to provide interim relief/clarity while rulemaking proceeds.</w:t>
      </w:r>
    </w:p>
    <w:p w:rsidR="00000000" w:rsidDel="00000000" w:rsidP="00000000" w:rsidRDefault="00000000" w:rsidRPr="00000000" w14:paraId="00000166">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Industry proposals and comment letters shaping the rulemaking agenda (a16z, DeFi Education, Fairmint, etc.).</w:t>
      </w:r>
    </w:p>
    <w:p w:rsidR="00000000" w:rsidDel="00000000" w:rsidP="00000000" w:rsidRDefault="00000000" w:rsidRPr="00000000" w14:paraId="00000167">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Journey Begins (rescission &amp; solicitation), DeFi / a16z submissions (safe harbor proposals).</w:t>
      </w:r>
    </w:p>
    <w:p w:rsidR="00000000" w:rsidDel="00000000" w:rsidP="00000000" w:rsidRDefault="00000000" w:rsidRPr="00000000" w14:paraId="00000168">
      <w:pPr>
        <w:numPr>
          <w:ilvl w:val="0"/>
          <w:numId w:val="34"/>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Outcomes and controversies:</w:t>
      </w:r>
    </w:p>
    <w:p w:rsidR="00000000" w:rsidDel="00000000" w:rsidP="00000000" w:rsidRDefault="00000000" w:rsidRPr="00000000" w14:paraId="00000169">
      <w:pPr>
        <w:numPr>
          <w:ilvl w:val="1"/>
          <w:numId w:val="3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Some enforcement actions have been paused/dismissed while policy work proceeds — proponents view this as a needed pause to avoid litigating through policy, critics warn this substitutes ad hoc decisions for formal notice‑and‑comment rulemaking and can create perceived politicization.</w:t>
      </w:r>
    </w:p>
    <w:p w:rsidR="00000000" w:rsidDel="00000000" w:rsidP="00000000" w:rsidRDefault="00000000" w:rsidRPr="00000000" w14:paraId="0000016A">
      <w:pPr>
        <w:numPr>
          <w:ilvl w:val="1"/>
          <w:numId w:val="34"/>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LBRY submissions (criticizing enforcement-first harms) and Better Markets (criticizing guidance/no‑action over rulemaking).</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Lessons and practical indicators that an agency is shifting from enforcement‑first to policy‑led</w:t>
      </w:r>
    </w:p>
    <w:p w:rsidR="00000000" w:rsidDel="00000000" w:rsidP="00000000" w:rsidRDefault="00000000" w:rsidRPr="00000000" w14:paraId="0000016C">
      <w:pPr>
        <w:numPr>
          <w:ilvl w:val="0"/>
          <w:numId w:val="59"/>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Public leadership statements committing to rulemaking (strong indicator). (Atkins speech)</w:t>
      </w:r>
    </w:p>
    <w:p w:rsidR="00000000" w:rsidDel="00000000" w:rsidP="00000000" w:rsidRDefault="00000000" w:rsidRPr="00000000" w14:paraId="0000016D">
      <w:pPr>
        <w:numPr>
          <w:ilvl w:val="0"/>
          <w:numId w:val="5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Formation of cross‑divisional task forces with explicit policy charters and public outreach plans. (SEC Agency Report; Crypto Task Force pages)</w:t>
      </w:r>
    </w:p>
    <w:p w:rsidR="00000000" w:rsidDel="00000000" w:rsidP="00000000" w:rsidRDefault="00000000" w:rsidRPr="00000000" w14:paraId="0000016E">
      <w:pPr>
        <w:numPr>
          <w:ilvl w:val="0"/>
          <w:numId w:val="5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Active rescission or revision of staff guidance as preparatory steps to new rules (SAB rescission example). (Journey Begins)</w:t>
      </w:r>
    </w:p>
    <w:p w:rsidR="00000000" w:rsidDel="00000000" w:rsidP="00000000" w:rsidRDefault="00000000" w:rsidRPr="00000000" w14:paraId="0000016F">
      <w:pPr>
        <w:numPr>
          <w:ilvl w:val="0"/>
          <w:numId w:val="5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Use of roundtables, RFIs and large‑scale written submissions solicited/posted publicly — showing open policy development. (Crypto Task Force roundtables &amp; “On the Road”)</w:t>
      </w:r>
    </w:p>
    <w:p w:rsidR="00000000" w:rsidDel="00000000" w:rsidP="00000000" w:rsidRDefault="00000000" w:rsidRPr="00000000" w14:paraId="00000170">
      <w:pPr>
        <w:numPr>
          <w:ilvl w:val="0"/>
          <w:numId w:val="5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Proposals from industry for safe harbors/exemptive regimes and SEC engagement with those proposals (a16z, DeFi, Fairmint inputs).</w:t>
      </w:r>
    </w:p>
    <w:p w:rsidR="00000000" w:rsidDel="00000000" w:rsidP="00000000" w:rsidRDefault="00000000" w:rsidRPr="00000000" w14:paraId="00000171">
      <w:pPr>
        <w:numPr>
          <w:ilvl w:val="0"/>
          <w:numId w:val="59"/>
        </w:numPr>
        <w:pBdr>
          <w:top w:color="auto" w:space="0" w:sz="0" w:val="none"/>
          <w:bottom w:color="auto" w:space="0" w:sz="0" w:val="none"/>
          <w:right w:color="auto" w:space="0" w:sz="0" w:val="none"/>
          <w:between w:color="auto" w:space="0" w:sz="0" w:val="none"/>
        </w:pBdr>
        <w:shd w:fill="0b1120" w:val="clear"/>
        <w:spacing w:after="28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Observable enforcement pauses or case dispositions that reference ongoing policy work (criticized by some). (LBRY / public memos)</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If you want this turned into a short timeline or table</w:t>
      </w:r>
    </w:p>
    <w:p w:rsidR="00000000" w:rsidDel="00000000" w:rsidP="00000000" w:rsidRDefault="00000000" w:rsidRPr="00000000" w14:paraId="00000173">
      <w:pPr>
        <w:numPr>
          <w:ilvl w:val="0"/>
          <w:numId w:val="65"/>
        </w:numPr>
        <w:pBdr>
          <w:top w:color="auto" w:space="0" w:sz="0" w:val="none"/>
          <w:bottom w:color="auto" w:space="0" w:sz="0" w:val="none"/>
          <w:right w:color="auto" w:space="0" w:sz="0" w:val="none"/>
          <w:between w:color="auto" w:space="0" w:sz="0" w:val="none"/>
        </w:pBdr>
        <w:shd w:fill="0b1120" w:val="clear"/>
        <w:spacing w:after="280" w:before="40" w:line="259" w:lineRule="auto"/>
        <w:ind w:left="980" w:hanging="360"/>
        <w:rPr>
          <w:color w:val="000000"/>
          <w:sz w:val="28"/>
          <w:szCs w:val="28"/>
          <w:shd w:fill="f5f5f5" w:val="clear"/>
        </w:rPr>
      </w:pPr>
      <w:r w:rsidDel="00000000" w:rsidR="00000000" w:rsidRPr="00000000">
        <w:rPr>
          <w:rFonts w:ascii="Arial Unicode MS" w:cs="Arial Unicode MS" w:eastAsia="Arial Unicode MS" w:hAnsi="Arial Unicode MS"/>
          <w:sz w:val="28"/>
          <w:szCs w:val="28"/>
          <w:shd w:fill="f5f5f5" w:val="clear"/>
          <w:rtl w:val="0"/>
        </w:rPr>
        <w:t xml:space="preserve">I can extract a timeline from the Task Force materials (announcements, SAB 121 rescission, roundtable dates, notable written input deadlines, memos citing paused enforcement actions) and produce a one‑page chronology with direct citations (relevance scores + snippets) so you can see the sequence of enforcement‑actions ↔ policy steps.</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Would you like:</w:t>
      </w:r>
    </w:p>
    <w:p w:rsidR="00000000" w:rsidDel="00000000" w:rsidP="00000000" w:rsidRDefault="00000000" w:rsidRPr="00000000" w14:paraId="00000175">
      <w:pPr>
        <w:numPr>
          <w:ilvl w:val="0"/>
          <w:numId w:val="88"/>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(A) A one‑page timeline showing when speeches, rescissions, roundtables, and memos occurred (with citations); or</w:t>
      </w:r>
    </w:p>
    <w:p w:rsidR="00000000" w:rsidDel="00000000" w:rsidP="00000000" w:rsidRDefault="00000000" w:rsidRPr="00000000" w14:paraId="00000176">
      <w:pPr>
        <w:numPr>
          <w:ilvl w:val="0"/>
          <w:numId w:val="88"/>
        </w:numPr>
        <w:pBdr>
          <w:top w:color="auto" w:space="0" w:sz="0" w:val="none"/>
          <w:bottom w:color="auto" w:space="0" w:sz="0" w:val="none"/>
          <w:right w:color="auto" w:space="0" w:sz="0" w:val="none"/>
          <w:between w:color="auto" w:space="0" w:sz="0" w:val="none"/>
        </w:pBdr>
        <w:shd w:fill="0b1120" w:val="clear"/>
        <w:spacing w:after="28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(B) A deeper legal‑risk brief on how paused enforcement actions create litigation and regulatory risks for market participants and how safe‑harbor/no‑action approaches compare to formal rulemaking (advantages/disadvantages)?</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Which option do you prefer?</w:t>
      </w:r>
    </w:p>
    <w:p w:rsidR="00000000" w:rsidDel="00000000" w:rsidP="00000000" w:rsidRDefault="00000000" w:rsidRPr="00000000" w14:paraId="00000178">
      <w:pPr>
        <w:spacing w:after="240" w:before="240" w:line="259" w:lineRule="auto"/>
        <w:jc w:val="both"/>
        <w:rPr>
          <w:rFonts w:ascii="Calibri" w:cs="Calibri" w:eastAsia="Calibri" w:hAnsi="Calibri"/>
          <w:sz w:val="28"/>
          <w:szCs w:val="28"/>
          <w:shd w:fill="f5f5f5" w:val="clear"/>
        </w:rPr>
      </w:pPr>
      <w:r w:rsidDel="00000000" w:rsidR="00000000" w:rsidRPr="00000000">
        <w:rPr>
          <w:rtl w:val="0"/>
        </w:rPr>
      </w:r>
    </w:p>
    <w:p w:rsidR="00000000" w:rsidDel="00000000" w:rsidP="00000000" w:rsidRDefault="00000000" w:rsidRPr="00000000" w14:paraId="00000179">
      <w:pPr>
        <w:spacing w:after="240" w:before="240" w:line="259" w:lineRule="auto"/>
        <w:jc w:val="both"/>
        <w:rPr>
          <w:rFonts w:ascii="Calibri" w:cs="Calibri" w:eastAsia="Calibri" w:hAnsi="Calibri"/>
          <w:sz w:val="28"/>
          <w:szCs w:val="28"/>
          <w:shd w:fill="f5f5f5" w:val="clear"/>
        </w:rPr>
      </w:pPr>
      <w:hyperlink r:id="rId40">
        <w:r w:rsidDel="00000000" w:rsidR="00000000" w:rsidRPr="00000000">
          <w:rPr>
            <w:rFonts w:ascii="Calibri" w:cs="Calibri" w:eastAsia="Calibri" w:hAnsi="Calibri"/>
            <w:color w:val="1155cc"/>
            <w:sz w:val="28"/>
            <w:szCs w:val="28"/>
            <w:u w:val="single"/>
            <w:shd w:fill="f5f5f5" w:val="clear"/>
            <w:rtl w:val="0"/>
          </w:rPr>
          <w:t xml:space="preserve">Perplexity.ai</w:t>
        </w:r>
      </w:hyperlink>
      <w:r w:rsidDel="00000000" w:rsidR="00000000" w:rsidRPr="00000000">
        <w:rPr>
          <w:rtl w:val="0"/>
        </w:rPr>
      </w:r>
    </w:p>
    <w:p w:rsidR="00000000" w:rsidDel="00000000" w:rsidP="00000000" w:rsidRDefault="00000000" w:rsidRPr="00000000" w14:paraId="0000017A">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Across past SEC task forces, the main precedent is that an enforcement‑first surge often evolves into (or is created alongside) a more policy‑led program once patterns of misconduct are clearer and political conditions support rulemaking or guidance.nyu+3</w:t>
      </w:r>
    </w:p>
    <w:p w:rsidR="00000000" w:rsidDel="00000000" w:rsidP="00000000" w:rsidRDefault="00000000" w:rsidRPr="00000000" w14:paraId="0000017B">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82pdhmmwakcq" w:id="25"/>
      <w:bookmarkEnd w:id="25"/>
      <w:r w:rsidDel="00000000" w:rsidR="00000000" w:rsidRPr="00000000">
        <w:rPr>
          <w:rFonts w:ascii="Calibri" w:cs="Calibri" w:eastAsia="Calibri" w:hAnsi="Calibri"/>
          <w:b w:val="1"/>
          <w:bCs w:val="1"/>
          <w:sz w:val="34"/>
          <w:szCs w:val="34"/>
          <w:shd w:fill="f5f5f5" w:val="clear"/>
          <w:rtl w:val="0"/>
        </w:rPr>
        <w:t xml:space="preserve">Historical patterns from task forces</w:t>
      </w:r>
    </w:p>
    <w:p w:rsidR="00000000" w:rsidDel="00000000" w:rsidP="00000000" w:rsidRDefault="00000000" w:rsidRPr="00000000" w14:paraId="0000017C">
      <w:pPr>
        <w:numPr>
          <w:ilvl w:val="0"/>
          <w:numId w:val="86"/>
        </w:numPr>
        <w:spacing w:after="0" w:afterAutospacing="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w:t>
      </w:r>
      <w:r w:rsidDel="00000000" w:rsidR="00000000" w:rsidRPr="00000000">
        <w:rPr>
          <w:rFonts w:ascii="Calibri" w:cs="Calibri" w:eastAsia="Calibri" w:hAnsi="Calibri"/>
          <w:b w:val="1"/>
          <w:bCs w:val="1"/>
          <w:sz w:val="28"/>
          <w:szCs w:val="28"/>
          <w:shd w:fill="f5f5f5" w:val="clear"/>
          <w:rtl w:val="0"/>
        </w:rPr>
        <w:t xml:space="preserve">Financial Reporting and Audit Task Force</w:t>
      </w:r>
      <w:r w:rsidDel="00000000" w:rsidR="00000000" w:rsidRPr="00000000">
        <w:rPr>
          <w:rFonts w:ascii="Calibri" w:cs="Calibri" w:eastAsia="Calibri" w:hAnsi="Calibri"/>
          <w:sz w:val="28"/>
          <w:szCs w:val="28"/>
          <w:shd w:fill="f5f5f5" w:val="clear"/>
          <w:rtl w:val="0"/>
        </w:rPr>
        <w:t xml:space="preserve"> (2013) and </w:t>
      </w:r>
      <w:r w:rsidDel="00000000" w:rsidR="00000000" w:rsidRPr="00000000">
        <w:rPr>
          <w:rFonts w:ascii="Calibri" w:cs="Calibri" w:eastAsia="Calibri" w:hAnsi="Calibri"/>
          <w:b w:val="1"/>
          <w:bCs w:val="1"/>
          <w:sz w:val="28"/>
          <w:szCs w:val="28"/>
          <w:shd w:fill="f5f5f5" w:val="clear"/>
          <w:rtl w:val="0"/>
        </w:rPr>
        <w:t xml:space="preserve">Microcap Task Force</w:t>
      </w:r>
      <w:r w:rsidDel="00000000" w:rsidR="00000000" w:rsidRPr="00000000">
        <w:rPr>
          <w:rFonts w:ascii="Calibri" w:cs="Calibri" w:eastAsia="Calibri" w:hAnsi="Calibri"/>
          <w:sz w:val="28"/>
          <w:szCs w:val="28"/>
          <w:shd w:fill="f5f5f5" w:val="clear"/>
          <w:rtl w:val="0"/>
        </w:rPr>
        <w:t xml:space="preserve"> were created to concentrate enforcement resources on accounting and microcap fraud; their work fed into later disclosure guidance and risk‑based exam priorities but did not themselves start as policy vehicles. In practice, they show a pattern where data from sweeps and cases is later used by other divisions (e.g., Corp Fin, Examinations, DERA) to refine disclosure, listing, and gatekeeper expectations.corpgov.law.harvard+2</w:t>
        <w:br w:type="textWrapping"/>
      </w:r>
    </w:p>
    <w:p w:rsidR="00000000" w:rsidDel="00000000" w:rsidP="00000000" w:rsidRDefault="00000000" w:rsidRPr="00000000" w14:paraId="0000017D">
      <w:pPr>
        <w:numPr>
          <w:ilvl w:val="0"/>
          <w:numId w:val="86"/>
        </w:numPr>
        <w:spacing w:after="24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w:t>
      </w:r>
      <w:r w:rsidDel="00000000" w:rsidR="00000000" w:rsidRPr="00000000">
        <w:rPr>
          <w:rFonts w:ascii="Calibri" w:cs="Calibri" w:eastAsia="Calibri" w:hAnsi="Calibri"/>
          <w:b w:val="1"/>
          <w:bCs w:val="1"/>
          <w:sz w:val="28"/>
          <w:szCs w:val="28"/>
          <w:shd w:fill="f5f5f5" w:val="clear"/>
          <w:rtl w:val="0"/>
        </w:rPr>
        <w:t xml:space="preserve">Retail Strategy Task Force</w:t>
      </w:r>
      <w:r w:rsidDel="00000000" w:rsidR="00000000" w:rsidRPr="00000000">
        <w:rPr>
          <w:rFonts w:ascii="Calibri" w:cs="Calibri" w:eastAsia="Calibri" w:hAnsi="Calibri"/>
          <w:sz w:val="28"/>
          <w:szCs w:val="28"/>
          <w:shd w:fill="f5f5f5" w:val="clear"/>
          <w:rtl w:val="0"/>
        </w:rPr>
        <w:t xml:space="preserve"> (2017) similarly began as an enforcement vehicle targeting retail investor harm, but over time its findings informed investor‑education campaigns and staff guidance on complex products, illustrating another enforcement‑to‑policy feedback loop.gibsondunn+1</w:t>
        <w:br w:type="textWrapping"/>
      </w:r>
    </w:p>
    <w:p w:rsidR="00000000" w:rsidDel="00000000" w:rsidP="00000000" w:rsidRDefault="00000000" w:rsidRPr="00000000" w14:paraId="0000017E">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bvv6r0vqra0g" w:id="26"/>
      <w:bookmarkEnd w:id="26"/>
      <w:r w:rsidDel="00000000" w:rsidR="00000000" w:rsidRPr="00000000">
        <w:rPr>
          <w:rFonts w:ascii="Calibri" w:cs="Calibri" w:eastAsia="Calibri" w:hAnsi="Calibri"/>
          <w:b w:val="1"/>
          <w:bCs w:val="1"/>
          <w:sz w:val="34"/>
          <w:szCs w:val="34"/>
          <w:shd w:fill="f5f5f5" w:val="clear"/>
          <w:rtl w:val="0"/>
        </w:rPr>
        <w:t xml:space="preserve">Climate &amp; ESG task force as a policy‑linked model</w:t>
      </w:r>
    </w:p>
    <w:p w:rsidR="00000000" w:rsidDel="00000000" w:rsidP="00000000" w:rsidRDefault="00000000" w:rsidRPr="00000000" w14:paraId="0000017F">
      <w:pPr>
        <w:numPr>
          <w:ilvl w:val="0"/>
          <w:numId w:val="60"/>
        </w:numPr>
        <w:spacing w:after="0" w:afterAutospacing="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w:t>
      </w:r>
      <w:r w:rsidDel="00000000" w:rsidR="00000000" w:rsidRPr="00000000">
        <w:rPr>
          <w:rFonts w:ascii="Calibri" w:cs="Calibri" w:eastAsia="Calibri" w:hAnsi="Calibri"/>
          <w:b w:val="1"/>
          <w:bCs w:val="1"/>
          <w:sz w:val="28"/>
          <w:szCs w:val="28"/>
          <w:shd w:fill="f5f5f5" w:val="clear"/>
          <w:rtl w:val="0"/>
        </w:rPr>
        <w:t xml:space="preserve">Climate and ESG Task Force</w:t>
      </w:r>
      <w:r w:rsidDel="00000000" w:rsidR="00000000" w:rsidRPr="00000000">
        <w:rPr>
          <w:rFonts w:ascii="Calibri" w:cs="Calibri" w:eastAsia="Calibri" w:hAnsi="Calibri"/>
          <w:sz w:val="28"/>
          <w:szCs w:val="28"/>
          <w:shd w:fill="f5f5f5" w:val="clear"/>
          <w:rtl w:val="0"/>
        </w:rPr>
        <w:t xml:space="preserve"> (announced 2021) was explicitly framed as part of a broader climate/ESG agenda, with a mandate to identify disclosure gaps and misstatements under existing rules and to work closely with Corp Fin, Investment Management, and Examinations. The SEC described the task force’s work as complementing other initiatives, including a senior policy advisor for climate and ESG, signaling that enforcement findings would directly inform new disclosure guidance and eventual rule proposals on climate risk.sec+1</w:t>
        <w:br w:type="textWrapping"/>
      </w:r>
    </w:p>
    <w:p w:rsidR="00000000" w:rsidDel="00000000" w:rsidP="00000000" w:rsidRDefault="00000000" w:rsidRPr="00000000" w14:paraId="00000180">
      <w:pPr>
        <w:numPr>
          <w:ilvl w:val="0"/>
          <w:numId w:val="60"/>
        </w:numPr>
        <w:spacing w:after="24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This structure—embedding an enforcement unit inside a cross‑division policy push—provides a clear precedent for using task‑force case data as an input into rule writing and interpretive guidance rather than treating enforcement as an entirely separate track.mcdonaldhopkins+1</w:t>
        <w:br w:type="textWrapping"/>
      </w:r>
    </w:p>
    <w:p w:rsidR="00000000" w:rsidDel="00000000" w:rsidP="00000000" w:rsidRDefault="00000000" w:rsidRPr="00000000" w14:paraId="00000181">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sz6e7xbocenh" w:id="27"/>
      <w:bookmarkEnd w:id="27"/>
      <w:r w:rsidDel="00000000" w:rsidR="00000000" w:rsidRPr="00000000">
        <w:rPr>
          <w:rFonts w:ascii="Calibri" w:cs="Calibri" w:eastAsia="Calibri" w:hAnsi="Calibri"/>
          <w:b w:val="1"/>
          <w:bCs w:val="1"/>
          <w:sz w:val="34"/>
          <w:szCs w:val="34"/>
          <w:shd w:fill="f5f5f5" w:val="clear"/>
          <w:rtl w:val="0"/>
        </w:rPr>
        <w:t xml:space="preserve">Cross‑Border Task Force and current practice</w:t>
      </w:r>
    </w:p>
    <w:p w:rsidR="00000000" w:rsidDel="00000000" w:rsidP="00000000" w:rsidRDefault="00000000" w:rsidRPr="00000000" w14:paraId="00000182">
      <w:pPr>
        <w:numPr>
          <w:ilvl w:val="0"/>
          <w:numId w:val="67"/>
        </w:numPr>
        <w:spacing w:after="24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w:t>
      </w:r>
      <w:r w:rsidDel="00000000" w:rsidR="00000000" w:rsidRPr="00000000">
        <w:rPr>
          <w:rFonts w:ascii="Calibri" w:cs="Calibri" w:eastAsia="Calibri" w:hAnsi="Calibri"/>
          <w:b w:val="1"/>
          <w:bCs w:val="1"/>
          <w:sz w:val="28"/>
          <w:szCs w:val="28"/>
          <w:shd w:fill="f5f5f5" w:val="clear"/>
          <w:rtl w:val="0"/>
        </w:rPr>
        <w:t xml:space="preserve">Cross‑Border Task Force</w:t>
      </w:r>
      <w:r w:rsidDel="00000000" w:rsidR="00000000" w:rsidRPr="00000000">
        <w:rPr>
          <w:rFonts w:ascii="Calibri" w:cs="Calibri" w:eastAsia="Calibri" w:hAnsi="Calibri"/>
          <w:sz w:val="28"/>
          <w:szCs w:val="28"/>
          <w:shd w:fill="f5f5f5" w:val="clear"/>
          <w:rtl w:val="0"/>
        </w:rPr>
        <w:t xml:space="preserve"> (2025) continues the tradition of forming specialized units but was announced with an explicit mandate not only to “strengthen” enforcement against foreign‑based fraud, but also to coordinate with Corp Fin, Examinations, Trading &amp; Markets, DERA, and International Affairs to consider “new disclosure guidance and any necessary rule changes.” Commentators note that this reflects a maturing model in which a task force is set up from the outset as both an investigative hub and a source of empirical input for broader policy responses to cross‑border risks.sle.cooley+3</w:t>
        <w:br w:type="textWrapping"/>
      </w:r>
    </w:p>
    <w:p w:rsidR="00000000" w:rsidDel="00000000" w:rsidP="00000000" w:rsidRDefault="00000000" w:rsidRPr="00000000" w14:paraId="00000183">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vxtsz2chvm5t" w:id="28"/>
      <w:bookmarkEnd w:id="28"/>
      <w:r w:rsidDel="00000000" w:rsidR="00000000" w:rsidRPr="00000000">
        <w:rPr>
          <w:rFonts w:ascii="Calibri" w:cs="Calibri" w:eastAsia="Calibri" w:hAnsi="Calibri"/>
          <w:b w:val="1"/>
          <w:bCs w:val="1"/>
          <w:sz w:val="34"/>
          <w:szCs w:val="34"/>
          <w:shd w:fill="f5f5f5" w:val="clear"/>
          <w:rtl w:val="0"/>
        </w:rPr>
        <w:t xml:space="preserve">Crypto task forces and policy resets</w:t>
      </w:r>
    </w:p>
    <w:p w:rsidR="00000000" w:rsidDel="00000000" w:rsidP="00000000" w:rsidRDefault="00000000" w:rsidRPr="00000000" w14:paraId="00000184">
      <w:pPr>
        <w:numPr>
          <w:ilvl w:val="0"/>
          <w:numId w:val="2"/>
        </w:numPr>
        <w:spacing w:after="24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Recent commentary on SEC enforcement in 2025 highlights that the Commission has </w:t>
      </w:r>
      <w:r w:rsidDel="00000000" w:rsidR="00000000" w:rsidRPr="00000000">
        <w:rPr>
          <w:rFonts w:ascii="Calibri" w:cs="Calibri" w:eastAsia="Calibri" w:hAnsi="Calibri"/>
          <w:b w:val="1"/>
          <w:bCs w:val="1"/>
          <w:sz w:val="28"/>
          <w:szCs w:val="28"/>
          <w:shd w:fill="f5f5f5" w:val="clear"/>
          <w:rtl w:val="0"/>
        </w:rPr>
        <w:t xml:space="preserve">closed or dismissed certain high‑profile crypto cases “for policy reasons” and at the same time launched new task forces focused on crypto and cross‑border fraud</w:t>
      </w:r>
      <w:r w:rsidDel="00000000" w:rsidR="00000000" w:rsidRPr="00000000">
        <w:rPr>
          <w:rFonts w:ascii="Calibri" w:cs="Calibri" w:eastAsia="Calibri" w:hAnsi="Calibri"/>
          <w:sz w:val="28"/>
          <w:szCs w:val="28"/>
          <w:shd w:fill="f5f5f5" w:val="clear"/>
          <w:rtl w:val="0"/>
        </w:rPr>
        <w:t xml:space="preserve">, explicitly aligning enforcement with the administration’s broader investment and national‑security priorities. This illustrates a shift from purely case‑driven strategy toward using enforcement inventory and task‑force structure as levers in a larger policy repositioning (for example, narrowing or refocusing the crypto program while the political branches develop a legislative framework).paulweiss+1</w:t>
        <w:br w:type="textWrapping"/>
      </w:r>
    </w:p>
    <w:p w:rsidR="00000000" w:rsidDel="00000000" w:rsidP="00000000" w:rsidRDefault="00000000" w:rsidRPr="00000000" w14:paraId="00000185">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e56yhx5bk4lf" w:id="29"/>
      <w:bookmarkEnd w:id="29"/>
      <w:r w:rsidDel="00000000" w:rsidR="00000000" w:rsidRPr="00000000">
        <w:rPr>
          <w:rFonts w:ascii="Calibri" w:cs="Calibri" w:eastAsia="Calibri" w:hAnsi="Calibri"/>
          <w:b w:val="1"/>
          <w:bCs w:val="1"/>
          <w:sz w:val="34"/>
          <w:szCs w:val="34"/>
          <w:shd w:fill="f5f5f5" w:val="clear"/>
          <w:rtl w:val="0"/>
        </w:rPr>
        <w:t xml:space="preserve">What these precedents show</w:t>
      </w:r>
    </w:p>
    <w:p w:rsidR="00000000" w:rsidDel="00000000" w:rsidP="00000000" w:rsidRDefault="00000000" w:rsidRPr="00000000" w14:paraId="00000186">
      <w:pPr>
        <w:numPr>
          <w:ilvl w:val="0"/>
          <w:numId w:val="41"/>
        </w:numPr>
        <w:spacing w:after="0" w:afterAutospacing="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Historically, specialized SEC task forces have started </w:t>
      </w:r>
      <w:r w:rsidDel="00000000" w:rsidR="00000000" w:rsidRPr="00000000">
        <w:rPr>
          <w:rFonts w:ascii="Calibri" w:cs="Calibri" w:eastAsia="Calibri" w:hAnsi="Calibri"/>
          <w:b w:val="1"/>
          <w:bCs w:val="1"/>
          <w:sz w:val="28"/>
          <w:szCs w:val="28"/>
          <w:shd w:fill="f5f5f5" w:val="clear"/>
          <w:rtl w:val="0"/>
        </w:rPr>
        <w:t xml:space="preserve">enforcement‑first</w:t>
      </w:r>
      <w:r w:rsidDel="00000000" w:rsidR="00000000" w:rsidRPr="00000000">
        <w:rPr>
          <w:rFonts w:ascii="Calibri" w:cs="Calibri" w:eastAsia="Calibri" w:hAnsi="Calibri"/>
          <w:sz w:val="28"/>
          <w:szCs w:val="28"/>
          <w:shd w:fill="f5f5f5" w:val="clear"/>
          <w:rtl w:val="0"/>
        </w:rPr>
        <w:t xml:space="preserve">, generating data on recurring violations in areas like accounting fraud, microcap abuse, and retail misconduct; over time, their findings have informed staff bulletins, disclosure guidance, exam priorities, and, indirectly, formal rulemaking.nyu+2</w:t>
        <w:br w:type="textWrapping"/>
      </w:r>
    </w:p>
    <w:p w:rsidR="00000000" w:rsidDel="00000000" w:rsidP="00000000" w:rsidRDefault="00000000" w:rsidRPr="00000000" w14:paraId="00000187">
      <w:pPr>
        <w:numPr>
          <w:ilvl w:val="0"/>
          <w:numId w:val="41"/>
        </w:numPr>
        <w:spacing w:after="24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More recent examples—the Climate &amp; ESG Task Force and the Cross‑Border Task Force—are designed from inception to operate as </w:t>
      </w:r>
      <w:r w:rsidDel="00000000" w:rsidR="00000000" w:rsidRPr="00000000">
        <w:rPr>
          <w:rFonts w:ascii="Calibri" w:cs="Calibri" w:eastAsia="Calibri" w:hAnsi="Calibri"/>
          <w:b w:val="1"/>
          <w:bCs w:val="1"/>
          <w:sz w:val="28"/>
          <w:szCs w:val="28"/>
          <w:shd w:fill="f5f5f5" w:val="clear"/>
          <w:rtl w:val="0"/>
        </w:rPr>
        <w:t xml:space="preserve">enforcement‑policy hybrids</w:t>
      </w:r>
      <w:r w:rsidDel="00000000" w:rsidR="00000000" w:rsidRPr="00000000">
        <w:rPr>
          <w:rFonts w:ascii="Calibri" w:cs="Calibri" w:eastAsia="Calibri" w:hAnsi="Calibri"/>
          <w:sz w:val="28"/>
          <w:szCs w:val="28"/>
          <w:shd w:fill="f5f5f5" w:val="clear"/>
          <w:rtl w:val="0"/>
        </w:rPr>
        <w:t xml:space="preserve">, explicitly coordinating with policy divisions to translate patterns from investigations into new guidance and rules, offering the clearest precedent for any future shift from a crypto‑enforcement‑first approach to one more visibly led and framed by policy.sle.cooley+3</w:t>
        <w:br w:type="textWrapping"/>
      </w:r>
    </w:p>
    <w:p w:rsidR="00000000" w:rsidDel="00000000" w:rsidP="00000000" w:rsidRDefault="00000000" w:rsidRPr="00000000" w14:paraId="00000188">
      <w:pPr>
        <w:spacing w:after="240" w:before="240" w:line="259" w:lineRule="auto"/>
        <w:jc w:val="both"/>
        <w:rPr>
          <w:rFonts w:ascii="Calibri" w:cs="Calibri" w:eastAsia="Calibri" w:hAnsi="Calibri"/>
          <w:sz w:val="28"/>
          <w:szCs w:val="28"/>
          <w:shd w:fill="f5f5f5" w:val="clear"/>
        </w:rPr>
      </w:pPr>
      <w:hyperlink r:id="rId41">
        <w:r w:rsidDel="00000000" w:rsidR="00000000" w:rsidRPr="00000000">
          <w:rPr>
            <w:rFonts w:ascii="Calibri" w:cs="Calibri" w:eastAsia="Calibri" w:hAnsi="Calibri"/>
            <w:color w:val="1155cc"/>
            <w:sz w:val="28"/>
            <w:szCs w:val="28"/>
            <w:u w:val="single"/>
            <w:shd w:fill="f5f5f5" w:val="clear"/>
            <w:rtl w:val="0"/>
          </w:rPr>
          <w:t xml:space="preserve">Claudie.Ai</w:t>
        </w:r>
      </w:hyperlink>
      <w:r w:rsidDel="00000000" w:rsidR="00000000" w:rsidRPr="00000000">
        <w:rPr>
          <w:rtl w:val="0"/>
        </w:rPr>
      </w:r>
    </w:p>
    <w:p w:rsidR="00000000" w:rsidDel="00000000" w:rsidP="00000000" w:rsidRDefault="00000000" w:rsidRPr="00000000" w14:paraId="00000189">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This is exactly where CRI's institutional knowledge of SEC history creates defensible analytical value — the precedents are real and instructive, but they don't map cleanly onto crypto without the interpretation layer your knowledge base provides. Here's the structured analysis.</w:t>
      </w:r>
    </w:p>
    <w:p w:rsidR="00000000" w:rsidDel="00000000" w:rsidP="00000000" w:rsidRDefault="00000000" w:rsidRPr="00000000" w14:paraId="0000018A">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b2fog7wn7qbt" w:id="30"/>
      <w:bookmarkEnd w:id="30"/>
      <w:r w:rsidDel="00000000" w:rsidR="00000000" w:rsidRPr="00000000">
        <w:rPr>
          <w:rFonts w:ascii="Calibri" w:cs="Calibri" w:eastAsia="Calibri" w:hAnsi="Calibri"/>
          <w:b w:val="1"/>
          <w:bCs w:val="1"/>
          <w:sz w:val="34"/>
          <w:szCs w:val="34"/>
          <w:shd w:fill="f5f5f5" w:val="clear"/>
          <w:rtl w:val="0"/>
        </w:rPr>
        <w:t xml:space="preserve">SEC Enforcement-to-Policy Transitions: Historical Precedents and Crypto Applicability</w:t>
      </w:r>
    </w:p>
    <w:p w:rsidR="00000000" w:rsidDel="00000000" w:rsidP="00000000" w:rsidRDefault="00000000" w:rsidRPr="00000000" w14:paraId="0000018C">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mmtvblra56cm" w:id="31"/>
      <w:bookmarkEnd w:id="31"/>
      <w:r w:rsidDel="00000000" w:rsidR="00000000" w:rsidRPr="00000000">
        <w:rPr>
          <w:rFonts w:ascii="Calibri" w:cs="Calibri" w:eastAsia="Calibri" w:hAnsi="Calibri"/>
          <w:b w:val="1"/>
          <w:bCs w:val="1"/>
          <w:color w:val="000000"/>
          <w:sz w:val="26"/>
          <w:szCs w:val="26"/>
          <w:shd w:fill="f5f5f5" w:val="clear"/>
          <w:rtl w:val="0"/>
        </w:rPr>
        <w:t xml:space="preserve">Framing the Pattern</w:t>
      </w:r>
    </w:p>
    <w:p w:rsidR="00000000" w:rsidDel="00000000" w:rsidP="00000000" w:rsidRDefault="00000000" w:rsidRPr="00000000" w14:paraId="0000018D">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SEC's institutional history shows a recurring sequence: a new market technology emerges, the agency initially responds with enforcement of existing law, market participants push back on the applicability of that law, and over a period of years the SEC either issues bespoke rulemaking or Congress legislates. The question for CRI clients is not whether this transition happens — it does, reliably — but </w:t>
      </w:r>
      <w:r w:rsidDel="00000000" w:rsidR="00000000" w:rsidRPr="00000000">
        <w:rPr>
          <w:rFonts w:ascii="Calibri" w:cs="Calibri" w:eastAsia="Calibri" w:hAnsi="Calibri"/>
          <w:i w:val="1"/>
          <w:iCs w:val="1"/>
          <w:sz w:val="28"/>
          <w:szCs w:val="28"/>
          <w:shd w:fill="f5f5f5" w:val="clear"/>
          <w:rtl w:val="0"/>
        </w:rPr>
        <w:t xml:space="preserve">which phase</w:t>
      </w:r>
      <w:r w:rsidDel="00000000" w:rsidR="00000000" w:rsidRPr="00000000">
        <w:rPr>
          <w:rFonts w:ascii="Calibri" w:cs="Calibri" w:eastAsia="Calibri" w:hAnsi="Calibri"/>
          <w:sz w:val="28"/>
          <w:szCs w:val="28"/>
          <w:shd w:fill="f5f5f5" w:val="clear"/>
          <w:rtl w:val="0"/>
        </w:rPr>
        <w:t xml:space="preserve"> the crypto transition is currently in and what the transition timeline signals about durable vs. interim regulatory obligations.</w:t>
      </w:r>
    </w:p>
    <w:p w:rsidR="00000000" w:rsidDel="00000000" w:rsidP="00000000" w:rsidRDefault="00000000" w:rsidRPr="00000000" w14:paraId="0000018E">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Three historical precedents are analytically useful, each at a different level of structural resemblance to the crypto situation.</w:t>
      </w:r>
    </w:p>
    <w:p w:rsidR="00000000" w:rsidDel="00000000" w:rsidP="00000000" w:rsidRDefault="00000000" w:rsidRPr="00000000" w14:paraId="0000018F">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gksqimn3vs21" w:id="32"/>
      <w:bookmarkEnd w:id="32"/>
      <w:r w:rsidDel="00000000" w:rsidR="00000000" w:rsidRPr="00000000">
        <w:rPr>
          <w:rFonts w:ascii="Calibri" w:cs="Calibri" w:eastAsia="Calibri" w:hAnsi="Calibri"/>
          <w:b w:val="1"/>
          <w:bCs w:val="1"/>
          <w:color w:val="000000"/>
          <w:sz w:val="26"/>
          <w:szCs w:val="26"/>
          <w:shd w:fill="f5f5f5" w:val="clear"/>
          <w:rtl w:val="0"/>
        </w:rPr>
        <w:t xml:space="preserve">Precedent 1: Electronic Communications Networks and Regulation ATS (1996–1998)</w:t>
      </w:r>
    </w:p>
    <w:p w:rsidR="00000000" w:rsidDel="00000000" w:rsidP="00000000" w:rsidRDefault="00000000" w:rsidRPr="00000000" w14:paraId="00000191">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Closest structural analog to crypto trading venues</w:t>
      </w:r>
    </w:p>
    <w:p w:rsidR="00000000" w:rsidDel="00000000" w:rsidP="00000000" w:rsidRDefault="00000000" w:rsidRPr="00000000" w14:paraId="00000192">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This is the strongest precedent for what is happening now with crypto ATSs and exchange registration. By the late 1990s, the proliferation of electronic trading venues had made Chairman Arthur Levitt concerned about market fragmentation, and the SEC issued a concept release in May 1997 soliciting input on how securities regulation should be tailored to suit technological change — particularly how to deal with the rise of ECNs.</w:t>
      </w:r>
    </w:p>
    <w:p w:rsidR="00000000" w:rsidDel="00000000" w:rsidP="00000000" w:rsidRDefault="00000000" w:rsidRPr="00000000" w14:paraId="00000193">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transition sequence is instructive:</w:t>
      </w:r>
    </w:p>
    <w:p w:rsidR="00000000" w:rsidDel="00000000" w:rsidP="00000000" w:rsidRDefault="00000000" w:rsidRPr="00000000" w14:paraId="00000194">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First, enforcement through existing categories. The Order Handling Rules contained a loophole that enabled companies to set up exchange-like venues and trade without regulation. The SEC initially addressed this through no-action letters and incremental enforcement rather than comprehensive rules.</w:t>
      </w:r>
    </w:p>
    <w:p w:rsidR="00000000" w:rsidDel="00000000" w:rsidP="00000000" w:rsidRDefault="00000000" w:rsidRPr="00000000" w14:paraId="00000195">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Second, a catalyzing scandal forced the SEC's hand. Market makers on NASDAQ were quoting in quarters rather than eighths, artificially inflating spreads — the "odd-eighths scandal" resulted in wholesale reform of the over-the-counter market. The enforcement action against NASDAQ gave the SEC both the political mandate and the evidentiary record to move to rulemaking.</w:t>
      </w:r>
    </w:p>
    <w:p w:rsidR="00000000" w:rsidDel="00000000" w:rsidP="00000000" w:rsidRDefault="00000000" w:rsidRPr="00000000" w14:paraId="00000196">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Third, bespoke regulation replaced the no-action letter regime. Regulation ATS was introduced by the SEC in 1998 and began integrating these emerging trading systems into the regulatory framework, providing an exemption for alternative venues from ordinary exchange regulation. Crucially, the new clarity created by Reg ATS, combined with continued competition, spurred a series of strategic moves by ECNs and exchanges — including Island ECN applying to become a national securities exchange in 1999.</w:t>
      </w:r>
    </w:p>
    <w:p w:rsidR="00000000" w:rsidDel="00000000" w:rsidP="00000000" w:rsidRDefault="00000000" w:rsidRPr="00000000" w14:paraId="00000197">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crypto parallel is direct and the current SEC is explicitly tracking it.</w:t>
      </w:r>
      <w:r w:rsidDel="00000000" w:rsidR="00000000" w:rsidRPr="00000000">
        <w:rPr>
          <w:rFonts w:ascii="Calibri" w:cs="Calibri" w:eastAsia="Calibri" w:hAnsi="Calibri"/>
          <w:sz w:val="28"/>
          <w:szCs w:val="28"/>
          <w:shd w:fill="f5f5f5" w:val="clear"/>
          <w:rtl w:val="0"/>
        </w:rPr>
        <w:t xml:space="preserve"> Commissioner Peirce issued an RFI in December 2025 explicitly asking how the Commission should revise Regulation ATS and Regulation NMS to accommodate crypto asset securities trading and pairs trading on crypto ATSs, noting that "Reg ATS was adopted in 1998" and that the current framework presents challenges for crypto innovation. The structural question — what is an "exchange" when the technology has changed — is identical. The Reg ATS precedent suggests the resolution timeframe from concept release to final rule was approximately 18 months; the crypto ATS question is already in that phase.</w:t>
      </w:r>
    </w:p>
    <w:p w:rsidR="00000000" w:rsidDel="00000000" w:rsidP="00000000" w:rsidRDefault="00000000" w:rsidRPr="00000000" w14:paraId="00000198">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CRI implication:</w:t>
      </w:r>
      <w:r w:rsidDel="00000000" w:rsidR="00000000" w:rsidRPr="00000000">
        <w:rPr>
          <w:rFonts w:ascii="Calibri" w:cs="Calibri" w:eastAsia="Calibri" w:hAnsi="Calibri"/>
          <w:sz w:val="28"/>
          <w:szCs w:val="28"/>
          <w:shd w:fill="f5f5f5" w:val="clear"/>
          <w:rtl w:val="0"/>
        </w:rPr>
        <w:t xml:space="preserve"> The Special Purpose Broker-Dealer framework transition is the direct institutional descendant of the Reg ATS transition. Clients navigating SPBD registration should model their compliance planning on the Reg ATS adoption curve, including the likelihood of a tiered regime offering lighter-touch rules for smaller venues analogous to the original ATS volume thresholds.</w:t>
      </w:r>
    </w:p>
    <w:p w:rsidR="00000000" w:rsidDel="00000000" w:rsidP="00000000" w:rsidRDefault="00000000" w:rsidRPr="00000000" w14:paraId="00000199">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ox90ssz8ygxk" w:id="33"/>
      <w:bookmarkEnd w:id="33"/>
      <w:r w:rsidDel="00000000" w:rsidR="00000000" w:rsidRPr="00000000">
        <w:rPr>
          <w:rFonts w:ascii="Calibri" w:cs="Calibri" w:eastAsia="Calibri" w:hAnsi="Calibri"/>
          <w:b w:val="1"/>
          <w:bCs w:val="1"/>
          <w:color w:val="000000"/>
          <w:sz w:val="26"/>
          <w:szCs w:val="26"/>
          <w:shd w:fill="f5f5f5" w:val="clear"/>
          <w:rtl w:val="0"/>
        </w:rPr>
        <w:t xml:space="preserve">Precedent 2: NASDAQ Market Reform and the Odd-Eighths Scandal (1994–1997)</w:t>
      </w:r>
    </w:p>
    <w:p w:rsidR="00000000" w:rsidDel="00000000" w:rsidP="00000000" w:rsidRDefault="00000000" w:rsidRPr="00000000" w14:paraId="0000019B">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Closest analog for the enforcement-to-guidance trigger mechanism</w:t>
      </w:r>
    </w:p>
    <w:p w:rsidR="00000000" w:rsidDel="00000000" w:rsidP="00000000" w:rsidRDefault="00000000" w:rsidRPr="00000000" w14:paraId="0000019C">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This precedent is valuable specifically for understanding </w:t>
      </w:r>
      <w:r w:rsidDel="00000000" w:rsidR="00000000" w:rsidRPr="00000000">
        <w:rPr>
          <w:rFonts w:ascii="Calibri" w:cs="Calibri" w:eastAsia="Calibri" w:hAnsi="Calibri"/>
          <w:i w:val="1"/>
          <w:iCs w:val="1"/>
          <w:sz w:val="28"/>
          <w:szCs w:val="28"/>
          <w:shd w:fill="f5f5f5" w:val="clear"/>
          <w:rtl w:val="0"/>
        </w:rPr>
        <w:t xml:space="preserve">what causes</w:t>
      </w:r>
      <w:r w:rsidDel="00000000" w:rsidR="00000000" w:rsidRPr="00000000">
        <w:rPr>
          <w:rFonts w:ascii="Calibri" w:cs="Calibri" w:eastAsia="Calibri" w:hAnsi="Calibri"/>
          <w:sz w:val="28"/>
          <w:szCs w:val="28"/>
          <w:shd w:fill="f5f5f5" w:val="clear"/>
          <w:rtl w:val="0"/>
        </w:rPr>
        <w:t xml:space="preserve"> the SEC to shift from enforcement to rulemaking, rather than the outcome of the shift.</w:t>
      </w:r>
    </w:p>
    <w:p w:rsidR="00000000" w:rsidDel="00000000" w:rsidP="00000000" w:rsidRDefault="00000000" w:rsidRPr="00000000" w14:paraId="0000019D">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1960s marked a period distinguished by staff creativity and innovation in using enforcement actions to facilitate the interpretive development of securities laws — a pattern the Gensler-era SEC explicitly revived for crypto. The roundtable record shows John Reed Stark defending exactly this approach, arguing that principles-based regulation had been working for decades and that enforcement was the appropriate vehicle for developing interpretive doctrine.</w:t>
      </w:r>
    </w:p>
    <w:p w:rsidR="00000000" w:rsidDel="00000000" w:rsidP="00000000" w:rsidRDefault="00000000" w:rsidRPr="00000000" w14:paraId="0000019E">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But the NASDAQ precedent shows the limits of that approach: the Limit Order Display Rule was imposed in 1996 as a result of the odd-eighths scandal, requiring market makers to publicly display a customer's limit order if the price quoted was better than theirs. The enforcement action against NASDAQ was necessary to establish the evidentiary record that justified mandatory disclosure rules — the scandal gave the SEC both the political cover and the legal hook to move from enforcement to rulemaking.</w:t>
      </w:r>
    </w:p>
    <w:p w:rsidR="00000000" w:rsidDel="00000000" w:rsidP="00000000" w:rsidRDefault="00000000" w:rsidRPr="00000000" w14:paraId="0000019F">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For crypto, the functional equivalent of the odd-eighths scandal is the FTX collapse and the Celsius/Voyager failures. Sarah Brennan argued in the roundtable that "failures like Celsius and Voyager were symptoms of being forced outside the regulatory perimeter" — the exact inverse of the NASDAQ situation, where market participants inside the perimeter were abusing it. The policy implication differs: in the NASDAQ case, enforcement led to stricter disclosure rules; in the crypto case, the analogous failures are being used to argue for bringing actors </w:t>
      </w:r>
      <w:r w:rsidDel="00000000" w:rsidR="00000000" w:rsidRPr="00000000">
        <w:rPr>
          <w:rFonts w:ascii="Calibri" w:cs="Calibri" w:eastAsia="Calibri" w:hAnsi="Calibri"/>
          <w:i w:val="1"/>
          <w:iCs w:val="1"/>
          <w:sz w:val="28"/>
          <w:szCs w:val="28"/>
          <w:shd w:fill="f5f5f5" w:val="clear"/>
          <w:rtl w:val="0"/>
        </w:rPr>
        <w:t xml:space="preserve">into</w:t>
      </w:r>
      <w:r w:rsidDel="00000000" w:rsidR="00000000" w:rsidRPr="00000000">
        <w:rPr>
          <w:rFonts w:ascii="Calibri" w:cs="Calibri" w:eastAsia="Calibri" w:hAnsi="Calibri"/>
          <w:sz w:val="28"/>
          <w:szCs w:val="28"/>
          <w:shd w:fill="f5f5f5" w:val="clear"/>
          <w:rtl w:val="0"/>
        </w:rPr>
        <w:t xml:space="preserve"> a workable regulatory perimeter rather than further restricting them. This asymmetry matters for CRI clients — it means the enforcement record in crypto is more likely to produce </w:t>
      </w:r>
      <w:r w:rsidDel="00000000" w:rsidR="00000000" w:rsidRPr="00000000">
        <w:rPr>
          <w:rFonts w:ascii="Calibri" w:cs="Calibri" w:eastAsia="Calibri" w:hAnsi="Calibri"/>
          <w:i w:val="1"/>
          <w:iCs w:val="1"/>
          <w:sz w:val="28"/>
          <w:szCs w:val="28"/>
          <w:shd w:fill="f5f5f5" w:val="clear"/>
          <w:rtl w:val="0"/>
        </w:rPr>
        <w:t xml:space="preserve">access frameworks</w:t>
      </w:r>
      <w:r w:rsidDel="00000000" w:rsidR="00000000" w:rsidRPr="00000000">
        <w:rPr>
          <w:rFonts w:ascii="Calibri" w:cs="Calibri" w:eastAsia="Calibri" w:hAnsi="Calibri"/>
          <w:sz w:val="28"/>
          <w:szCs w:val="28"/>
          <w:shd w:fill="f5f5f5" w:val="clear"/>
          <w:rtl w:val="0"/>
        </w:rPr>
        <w:t xml:space="preserve"> than </w:t>
      </w:r>
      <w:r w:rsidDel="00000000" w:rsidR="00000000" w:rsidRPr="00000000">
        <w:rPr>
          <w:rFonts w:ascii="Calibri" w:cs="Calibri" w:eastAsia="Calibri" w:hAnsi="Calibri"/>
          <w:i w:val="1"/>
          <w:iCs w:val="1"/>
          <w:sz w:val="28"/>
          <w:szCs w:val="28"/>
          <w:shd w:fill="f5f5f5" w:val="clear"/>
          <w:rtl w:val="0"/>
        </w:rPr>
        <w:t xml:space="preserve">restriction rules</w:t>
      </w:r>
      <w:r w:rsidDel="00000000" w:rsidR="00000000" w:rsidRPr="00000000">
        <w:rPr>
          <w:rFonts w:ascii="Calibri" w:cs="Calibri" w:eastAsia="Calibri" w:hAnsi="Calibri"/>
          <w:sz w:val="28"/>
          <w:szCs w:val="28"/>
          <w:shd w:fill="f5f5f5" w:val="clear"/>
          <w:rtl w:val="0"/>
        </w:rPr>
        <w:t xml:space="preserve">, which is historically unusual.</w:t>
      </w:r>
    </w:p>
    <w:p w:rsidR="00000000" w:rsidDel="00000000" w:rsidP="00000000" w:rsidRDefault="00000000" w:rsidRPr="00000000" w14:paraId="000001A0">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t79xv5bjbm3p" w:id="34"/>
      <w:bookmarkEnd w:id="34"/>
      <w:r w:rsidDel="00000000" w:rsidR="00000000" w:rsidRPr="00000000">
        <w:rPr>
          <w:rFonts w:ascii="Calibri" w:cs="Calibri" w:eastAsia="Calibri" w:hAnsi="Calibri"/>
          <w:b w:val="1"/>
          <w:bCs w:val="1"/>
          <w:color w:val="000000"/>
          <w:sz w:val="26"/>
          <w:szCs w:val="26"/>
          <w:shd w:fill="f5f5f5" w:val="clear"/>
          <w:rtl w:val="0"/>
        </w:rPr>
        <w:t xml:space="preserve">Precedent 3: Sarbanes-Oxley and Post-Enron Rulemaking (2002–2004)</w:t>
      </w:r>
    </w:p>
    <w:p w:rsidR="00000000" w:rsidDel="00000000" w:rsidP="00000000" w:rsidRDefault="00000000" w:rsidRPr="00000000" w14:paraId="000001A2">
      <w:pPr>
        <w:spacing w:after="240" w:before="240" w:line="259" w:lineRule="auto"/>
        <w:jc w:val="both"/>
        <w:rPr>
          <w:rFonts w:ascii="Calibri" w:cs="Calibri" w:eastAsia="Calibri" w:hAnsi="Calibri"/>
          <w:b w:val="1"/>
          <w:bCs w:val="1"/>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Closest analog for the crisis-to-legislation pathway</w:t>
      </w:r>
    </w:p>
    <w:p w:rsidR="00000000" w:rsidDel="00000000" w:rsidP="00000000" w:rsidRDefault="00000000" w:rsidRPr="00000000" w14:paraId="000001A3">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SOX is the precedent for what happens when enforcement failures become too visible to be addressed through agency action alone and Congress is forced to legislate. The former SEC Enforcement Director argued in 2024 that "as long as investors in securities are being harmed now, we must act now" — framing enforcement as the appropriate response to ongoing harm pending legislation. This is precisely the Gensler-era posture, and it mirrors the pre-SOX framing under Levitt and Pitt.</w:t>
      </w:r>
    </w:p>
    <w:p w:rsidR="00000000" w:rsidDel="00000000" w:rsidP="00000000" w:rsidRDefault="00000000" w:rsidRPr="00000000" w14:paraId="000001A4">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SOX parallel is most relevant for understanding the </w:t>
      </w:r>
      <w:r w:rsidDel="00000000" w:rsidR="00000000" w:rsidRPr="00000000">
        <w:rPr>
          <w:rFonts w:ascii="Calibri" w:cs="Calibri" w:eastAsia="Calibri" w:hAnsi="Calibri"/>
          <w:i w:val="1"/>
          <w:iCs w:val="1"/>
          <w:sz w:val="28"/>
          <w:szCs w:val="28"/>
          <w:shd w:fill="f5f5f5" w:val="clear"/>
          <w:rtl w:val="0"/>
        </w:rPr>
        <w:t xml:space="preserve">durability question</w:t>
      </w:r>
      <w:r w:rsidDel="00000000" w:rsidR="00000000" w:rsidRPr="00000000">
        <w:rPr>
          <w:rFonts w:ascii="Calibri" w:cs="Calibri" w:eastAsia="Calibri" w:hAnsi="Calibri"/>
          <w:sz w:val="28"/>
          <w:szCs w:val="28"/>
          <w:shd w:fill="f5f5f5" w:val="clear"/>
          <w:rtl w:val="0"/>
        </w:rPr>
        <w:t xml:space="preserve"> that is CRI's core value proposition. SOX was statutory — it survived subsequent administrations. The current crypto guidance regime (SAB 122 rescinding SAB 121, staff statements on memecoins and stablecoins, task force roundtable outputs) is not statutory. The GENIUS Act is the first piece of crypto-specific legislation that achieves SOX-level durability for its specific domain — stablecoin oversight. Everything outside the GENIUS Act perimeter remains in the pre-SOX equivalent: agency guidance that can be reversed by the next administration.</w:t>
      </w:r>
    </w:p>
    <w:p w:rsidR="00000000" w:rsidDel="00000000" w:rsidP="00000000" w:rsidRDefault="00000000" w:rsidRPr="00000000" w14:paraId="000001A5">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gw3zdifwnu6c" w:id="35"/>
      <w:bookmarkEnd w:id="35"/>
      <w:r w:rsidDel="00000000" w:rsidR="00000000" w:rsidRPr="00000000">
        <w:rPr>
          <w:rFonts w:ascii="Calibri" w:cs="Calibri" w:eastAsia="Calibri" w:hAnsi="Calibri"/>
          <w:b w:val="1"/>
          <w:bCs w:val="1"/>
          <w:color w:val="000000"/>
          <w:sz w:val="26"/>
          <w:szCs w:val="26"/>
          <w:shd w:fill="f5f5f5" w:val="clear"/>
          <w:rtl w:val="0"/>
        </w:rPr>
        <w:t xml:space="preserve">What the Task Force Record Adds: The "Policy Lock-In" Problem</w:t>
      </w:r>
    </w:p>
    <w:p w:rsidR="00000000" w:rsidDel="00000000" w:rsidP="00000000" w:rsidRDefault="00000000" w:rsidRPr="00000000" w14:paraId="000001A7">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roundtable transcript surfaces a dynamic that the historical precedents don't fully capture. Reiners warned explicitly that the enforcement dismissals under the current administration have been "front run" — the market is already responding (CME listing Solana futures after the case was dropped) before rules are written. He called this "policy lock-in": once markets respond to informal signals, it becomes politically and practically harder to reverse course even without formal rulemaking.</w:t>
      </w:r>
    </w:p>
    <w:p w:rsidR="00000000" w:rsidDel="00000000" w:rsidP="00000000" w:rsidRDefault="00000000" w:rsidRPr="00000000" w14:paraId="000001A8">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This is a structurally new dynamic that didn't exist in the Reg ATS or SOX transitions. In those cases, the sequence was: enforcement → scandal → rulemaking → market adaptation. In crypto 2025, the sequence is: enforcement dismissal → market adaptation → rulemaking (pending), with the market adaptation potentially constraining the rulemaking options available. For CRI clients, this means the </w:t>
      </w:r>
      <w:r w:rsidDel="00000000" w:rsidR="00000000" w:rsidRPr="00000000">
        <w:rPr>
          <w:rFonts w:ascii="Calibri" w:cs="Calibri" w:eastAsia="Calibri" w:hAnsi="Calibri"/>
          <w:i w:val="1"/>
          <w:iCs w:val="1"/>
          <w:sz w:val="28"/>
          <w:szCs w:val="28"/>
          <w:shd w:fill="f5f5f5" w:val="clear"/>
          <w:rtl w:val="0"/>
        </w:rPr>
        <w:t xml:space="preserve">window for influencing</w:t>
      </w:r>
      <w:r w:rsidDel="00000000" w:rsidR="00000000" w:rsidRPr="00000000">
        <w:rPr>
          <w:rFonts w:ascii="Calibri" w:cs="Calibri" w:eastAsia="Calibri" w:hAnsi="Calibri"/>
          <w:sz w:val="28"/>
          <w:szCs w:val="28"/>
          <w:shd w:fill="f5f5f5" w:val="clear"/>
          <w:rtl w:val="0"/>
        </w:rPr>
        <w:t xml:space="preserve"> the rulemaking is now, not after formal proposals — which is exactly the intelligence product opportunity the current task force roundtable format creates.</w:t>
      </w:r>
    </w:p>
    <w:p w:rsidR="00000000" w:rsidDel="00000000" w:rsidP="00000000" w:rsidRDefault="00000000" w:rsidRPr="00000000" w14:paraId="000001A9">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cbzla56eddy8" w:id="36"/>
      <w:bookmarkEnd w:id="36"/>
      <w:r w:rsidDel="00000000" w:rsidR="00000000" w:rsidRPr="00000000">
        <w:rPr>
          <w:rFonts w:ascii="Calibri" w:cs="Calibri" w:eastAsia="Calibri" w:hAnsi="Calibri"/>
          <w:b w:val="1"/>
          <w:bCs w:val="1"/>
          <w:color w:val="000000"/>
          <w:sz w:val="26"/>
          <w:szCs w:val="26"/>
          <w:shd w:fill="f5f5f5" w:val="clear"/>
          <w:rtl w:val="0"/>
        </w:rPr>
        <w:t xml:space="preserve">Synthesis: Where Crypto Sits on the Historical Transition Curve</w:t>
      </w:r>
    </w:p>
    <w:p w:rsidR="00000000" w:rsidDel="00000000" w:rsidP="00000000" w:rsidRDefault="00000000" w:rsidRPr="00000000" w14:paraId="000001AB">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Mapping the crypto transition against the three precedents:</w:t>
      </w:r>
    </w:p>
    <w:p w:rsidR="00000000" w:rsidDel="00000000" w:rsidP="00000000" w:rsidRDefault="00000000" w:rsidRPr="00000000" w14:paraId="000001AC">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w:t>
      </w:r>
      <w:r w:rsidDel="00000000" w:rsidR="00000000" w:rsidRPr="00000000">
        <w:rPr>
          <w:rFonts w:ascii="Calibri" w:cs="Calibri" w:eastAsia="Calibri" w:hAnsi="Calibri"/>
          <w:b w:val="1"/>
          <w:bCs w:val="1"/>
          <w:sz w:val="28"/>
          <w:szCs w:val="28"/>
          <w:shd w:fill="f5f5f5" w:val="clear"/>
          <w:rtl w:val="0"/>
        </w:rPr>
        <w:t xml:space="preserve">ECN/Reg ATS parallel</w:t>
      </w:r>
      <w:r w:rsidDel="00000000" w:rsidR="00000000" w:rsidRPr="00000000">
        <w:rPr>
          <w:rFonts w:ascii="Calibri" w:cs="Calibri" w:eastAsia="Calibri" w:hAnsi="Calibri"/>
          <w:sz w:val="28"/>
          <w:szCs w:val="28"/>
          <w:shd w:fill="f5f5f5" w:val="clear"/>
          <w:rtl w:val="0"/>
        </w:rPr>
        <w:t xml:space="preserve"> suggests the trading venue question (crypto ATS, exchange definition, SPBD) is 12–18 months from a final rule, based on the pattern of Commissioner Peirce's RFI and the concept release analog. The 1998 Reg ATS timeline from concept release to final rule is the best clock.</w:t>
      </w:r>
    </w:p>
    <w:p w:rsidR="00000000" w:rsidDel="00000000" w:rsidP="00000000" w:rsidRDefault="00000000" w:rsidRPr="00000000" w14:paraId="000001AD">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w:t>
      </w:r>
      <w:r w:rsidDel="00000000" w:rsidR="00000000" w:rsidRPr="00000000">
        <w:rPr>
          <w:rFonts w:ascii="Calibri" w:cs="Calibri" w:eastAsia="Calibri" w:hAnsi="Calibri"/>
          <w:b w:val="1"/>
          <w:bCs w:val="1"/>
          <w:sz w:val="28"/>
          <w:szCs w:val="28"/>
          <w:shd w:fill="f5f5f5" w:val="clear"/>
          <w:rtl w:val="0"/>
        </w:rPr>
        <w:t xml:space="preserve">NASDAQ/disclosure parallel</w:t>
      </w:r>
      <w:r w:rsidDel="00000000" w:rsidR="00000000" w:rsidRPr="00000000">
        <w:rPr>
          <w:rFonts w:ascii="Calibri" w:cs="Calibri" w:eastAsia="Calibri" w:hAnsi="Calibri"/>
          <w:sz w:val="28"/>
          <w:szCs w:val="28"/>
          <w:shd w:fill="f5f5f5" w:val="clear"/>
          <w:rtl w:val="0"/>
        </w:rPr>
        <w:t xml:space="preserve"> suggests the classification and disclosure questions (token offering disclosure, ongoing reporting) will be resolved by negotiated rulemaking rather than continued enforcement — but only after a sufficiently large market participant either successfully registers or the enforcement record creates enough political pressure for a formal pathway. The Coinbase case dismissal and the Ripple settlement are the functional equivalent of the NASDAQ administrative proceeding, establishing the outer boundaries of what enforcement will and won't accomplish.</w:t>
      </w:r>
    </w:p>
    <w:p w:rsidR="00000000" w:rsidDel="00000000" w:rsidP="00000000" w:rsidRDefault="00000000" w:rsidRPr="00000000" w14:paraId="000001AE">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w:t>
      </w:r>
      <w:r w:rsidDel="00000000" w:rsidR="00000000" w:rsidRPr="00000000">
        <w:rPr>
          <w:rFonts w:ascii="Calibri" w:cs="Calibri" w:eastAsia="Calibri" w:hAnsi="Calibri"/>
          <w:b w:val="1"/>
          <w:bCs w:val="1"/>
          <w:sz w:val="28"/>
          <w:szCs w:val="28"/>
          <w:shd w:fill="f5f5f5" w:val="clear"/>
          <w:rtl w:val="0"/>
        </w:rPr>
        <w:t xml:space="preserve">SOX parallel</w:t>
      </w:r>
      <w:r w:rsidDel="00000000" w:rsidR="00000000" w:rsidRPr="00000000">
        <w:rPr>
          <w:rFonts w:ascii="Calibri" w:cs="Calibri" w:eastAsia="Calibri" w:hAnsi="Calibri"/>
          <w:sz w:val="28"/>
          <w:szCs w:val="28"/>
          <w:shd w:fill="f5f5f5" w:val="clear"/>
          <w:rtl w:val="0"/>
        </w:rPr>
        <w:t xml:space="preserve"> is the durability warning. Nothing in the current crypto regulatory regime outside the GENIUS Act has achieved statutory permanence. CRI's highest-value product is precisely the map between durable and revocable — which is what your clients cannot get from pure data aggregators.</w:t>
      </w:r>
    </w:p>
    <w:p w:rsidR="00000000" w:rsidDel="00000000" w:rsidP="00000000" w:rsidRDefault="00000000" w:rsidRPr="00000000" w14:paraId="000001AF">
      <w:pPr>
        <w:spacing w:after="240" w:before="240" w:line="259" w:lineRule="auto"/>
        <w:jc w:val="both"/>
        <w:rPr>
          <w:rFonts w:ascii="Calibri" w:cs="Calibri" w:eastAsia="Calibri" w:hAnsi="Calibri"/>
          <w:b w:val="1"/>
          <w:bCs w:val="1"/>
          <w:sz w:val="28"/>
          <w:szCs w:val="28"/>
          <w:highlight w:val="green"/>
        </w:rPr>
      </w:pPr>
      <w:r w:rsidDel="00000000" w:rsidR="00000000" w:rsidRPr="00000000">
        <w:rPr>
          <w:rtl w:val="0"/>
        </w:rPr>
      </w:r>
    </w:p>
    <w:p w:rsidR="00000000" w:rsidDel="00000000" w:rsidP="00000000" w:rsidRDefault="00000000" w:rsidRPr="00000000" w14:paraId="000001B0">
      <w:pPr>
        <w:spacing w:after="240" w:before="240" w:line="259" w:lineRule="auto"/>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Question 4:</w:t>
      </w:r>
    </w:p>
    <w:p w:rsidR="00000000" w:rsidDel="00000000" w:rsidP="00000000" w:rsidRDefault="00000000" w:rsidRPr="00000000" w14:paraId="000001B1">
      <w:pPr>
        <w:spacing w:after="240" w:before="240" w:line="259" w:lineRule="auto"/>
        <w:jc w:val="both"/>
        <w:rPr>
          <w:rFonts w:ascii="Calibri" w:cs="Calibri" w:eastAsia="Calibri" w:hAnsi="Calibri"/>
          <w:b w:val="1"/>
          <w:bCs w:val="1"/>
          <w:sz w:val="24"/>
          <w:szCs w:val="24"/>
          <w:highlight w:val="green"/>
        </w:rPr>
      </w:pPr>
      <w:r w:rsidDel="00000000" w:rsidR="00000000" w:rsidRPr="00000000">
        <w:rPr>
          <w:b w:val="1"/>
          <w:bCs w:val="1"/>
          <w:sz w:val="24"/>
          <w:szCs w:val="24"/>
          <w:highlight w:val="green"/>
          <w:rtl w:val="0"/>
        </w:rPr>
        <w:t xml:space="preserve">What are the recurring themes and concerns in Crypto Task Force Written Inputs and Roundtable Transcripts, particularly from industry vs. academic participants?</w:t>
      </w:r>
      <w:r w:rsidDel="00000000" w:rsidR="00000000" w:rsidRPr="00000000">
        <w:rPr>
          <w:rtl w:val="0"/>
        </w:rPr>
      </w:r>
    </w:p>
    <w:p w:rsidR="00000000" w:rsidDel="00000000" w:rsidP="00000000" w:rsidRDefault="00000000" w:rsidRPr="00000000" w14:paraId="000001B2">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CRI</w:t>
      </w:r>
    </w:p>
    <w:p w:rsidR="00000000" w:rsidDel="00000000" w:rsidP="00000000" w:rsidRDefault="00000000" w:rsidRPr="00000000" w14:paraId="000001B3">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Below is a concise synthesis of the recurring themes and concerns that show up across the Crypto Task Force’s Written Inputs and Roundtable materials — with a focused comparison of industry submissions vs. academic participants. Each theme is supported by at least one RAG search result (title, relevance score, and a short snippet from the source).</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High‑level recurring themes (common to both groups)</w:t>
      </w:r>
    </w:p>
    <w:p w:rsidR="00000000" w:rsidDel="00000000" w:rsidP="00000000" w:rsidRDefault="00000000" w:rsidRPr="00000000" w14:paraId="000001B5">
      <w:pPr>
        <w:numPr>
          <w:ilvl w:val="0"/>
          <w:numId w:val="32"/>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Security status / Howey and taxonomy questions</w:t>
      </w:r>
    </w:p>
    <w:p w:rsidR="00000000" w:rsidDel="00000000" w:rsidP="00000000" w:rsidRDefault="00000000" w:rsidRPr="00000000" w14:paraId="000001B6">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“Security Status: The status of crypto assets under the securities laws is fundamental…” — There Must Be Some Way Out of Here. Relevance score: 9.59. Snippet: “What type of regulatory taxonomy would provide a predictable, legally precise, and economically rational approach to determining the security status of crypto assets…” (</w:t>
      </w:r>
      <w:hyperlink r:id="rId42">
        <w:r w:rsidDel="00000000" w:rsidR="00000000" w:rsidRPr="00000000">
          <w:rPr>
            <w:sz w:val="28"/>
            <w:szCs w:val="28"/>
            <w:u w:val="single"/>
            <w:shd w:fill="f5f5f5" w:val="clear"/>
            <w:rtl w:val="0"/>
          </w:rPr>
          <w:t xml:space="preserve">https://www.sec.gov/newsroom/speeches-statements/peirce-statement-rfi-022125</w:t>
        </w:r>
      </w:hyperlink>
      <w:r w:rsidDel="00000000" w:rsidR="00000000" w:rsidRPr="00000000">
        <w:rPr>
          <w:sz w:val="28"/>
          <w:szCs w:val="28"/>
          <w:shd w:fill="f5f5f5" w:val="clear"/>
          <w:rtl w:val="0"/>
        </w:rPr>
        <w:t xml:space="preserve">)</w:t>
      </w:r>
    </w:p>
    <w:p w:rsidR="00000000" w:rsidDel="00000000" w:rsidP="00000000" w:rsidRDefault="00000000" w:rsidRPr="00000000" w14:paraId="000001B7">
      <w:pPr>
        <w:numPr>
          <w:ilvl w:val="0"/>
          <w:numId w:val="3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Need for regulatory clarity and practical paths to compliance (registration, tailored rules, safe harbors)</w:t>
      </w:r>
    </w:p>
    <w:p w:rsidR="00000000" w:rsidDel="00000000" w:rsidP="00000000" w:rsidRDefault="00000000" w:rsidRPr="00000000" w14:paraId="000001B8">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PwC letter recommending tailored approaches and cross‑agency coordination. Relevance score: 9.78. Snippet: “PwC emphasizes the need for a framework that identifies how the characteristics of different crypto assets … determine their security status. … Leverage existing public offering rules with necessary modifications for crypto.” (</w:t>
      </w:r>
      <w:hyperlink r:id="rId43">
        <w:r w:rsidDel="00000000" w:rsidR="00000000" w:rsidRPr="00000000">
          <w:rPr>
            <w:sz w:val="28"/>
            <w:szCs w:val="28"/>
            <w:u w:val="single"/>
            <w:shd w:fill="f5f5f5" w:val="clear"/>
            <w:rtl w:val="0"/>
          </w:rPr>
          <w:t xml:space="preserve">https://www.sec.gov/files/ctf-written-input-pwc-050225.pdf</w:t>
        </w:r>
      </w:hyperlink>
      <w:r w:rsidDel="00000000" w:rsidR="00000000" w:rsidRPr="00000000">
        <w:rPr>
          <w:sz w:val="28"/>
          <w:szCs w:val="28"/>
          <w:shd w:fill="f5f5f5" w:val="clear"/>
          <w:rtl w:val="0"/>
        </w:rPr>
        <w:t xml:space="preserve">)</w:t>
      </w:r>
    </w:p>
    <w:p w:rsidR="00000000" w:rsidDel="00000000" w:rsidP="00000000" w:rsidRDefault="00000000" w:rsidRPr="00000000" w14:paraId="000001B9">
      <w:pPr>
        <w:numPr>
          <w:ilvl w:val="0"/>
          <w:numId w:val="3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Custody, custody rules, and financial‑responsibility / haircuts</w:t>
      </w:r>
    </w:p>
    <w:p w:rsidR="00000000" w:rsidDel="00000000" w:rsidP="00000000" w:rsidRDefault="00000000" w:rsidRPr="00000000" w14:paraId="000001BA">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Roundtable materials and many written inputs emphasize custody. Relevance score: 9.56 (Figure Markets) and 9.05 (Virtu). Snippets: “The SEC should clarify the security status of crypto assets… Tailored disclosure requirements…;” “Broker‑dealer custody rules should be revised to apply consistent risk‑based haircuts to crypto assets…” (Figure: </w:t>
      </w:r>
      <w:hyperlink r:id="rId44">
        <w:r w:rsidDel="00000000" w:rsidR="00000000" w:rsidRPr="00000000">
          <w:rPr>
            <w:sz w:val="28"/>
            <w:szCs w:val="28"/>
            <w:u w:val="single"/>
            <w:shd w:fill="f5f5f5" w:val="clear"/>
            <w:rtl w:val="0"/>
          </w:rPr>
          <w:t xml:space="preserve">https://www.sec.gov/files/ctf-input-figure-markets-3-25-25.pdf</w:t>
        </w:r>
      </w:hyperlink>
      <w:r w:rsidDel="00000000" w:rsidR="00000000" w:rsidRPr="00000000">
        <w:rPr>
          <w:sz w:val="28"/>
          <w:szCs w:val="28"/>
          <w:shd w:fill="f5f5f5" w:val="clear"/>
          <w:rtl w:val="0"/>
        </w:rPr>
        <w:t xml:space="preserve">; Virtu: </w:t>
      </w:r>
      <w:hyperlink r:id="rId45">
        <w:r w:rsidDel="00000000" w:rsidR="00000000" w:rsidRPr="00000000">
          <w:rPr>
            <w:sz w:val="28"/>
            <w:szCs w:val="28"/>
            <w:u w:val="single"/>
            <w:shd w:fill="f5f5f5" w:val="clear"/>
            <w:rtl w:val="0"/>
          </w:rPr>
          <w:t xml:space="preserve">https://www.sec.gov/files/ctf-input-smith-2025-3-20.pdf</w:t>
        </w:r>
      </w:hyperlink>
      <w:r w:rsidDel="00000000" w:rsidR="00000000" w:rsidRPr="00000000">
        <w:rPr>
          <w:sz w:val="28"/>
          <w:szCs w:val="28"/>
          <w:shd w:fill="f5f5f5" w:val="clear"/>
          <w:rtl w:val="0"/>
        </w:rPr>
        <w:t xml:space="preserve">)</w:t>
      </w:r>
    </w:p>
    <w:p w:rsidR="00000000" w:rsidDel="00000000" w:rsidP="00000000" w:rsidRDefault="00000000" w:rsidRPr="00000000" w14:paraId="000001BB">
      <w:pPr>
        <w:numPr>
          <w:ilvl w:val="0"/>
          <w:numId w:val="3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Stablecoins / reserves / attestation / accounting</w:t>
      </w:r>
    </w:p>
    <w:p w:rsidR="00000000" w:rsidDel="00000000" w:rsidP="00000000" w:rsidRDefault="00000000" w:rsidRPr="00000000" w14:paraId="000001BC">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AICPA submission and focused memos on stablecoins. Relevance score: 9.31 (AICPA) and 8.82 (Stephen Keen). Snippets: “Criteria for stablecoin reporting… criteria for controls over stablecoin operations… third‑party assurance can significantly enhance stakeholders’ confidence” (AICPA: </w:t>
      </w:r>
      <w:hyperlink r:id="rId46">
        <w:r w:rsidDel="00000000" w:rsidR="00000000" w:rsidRPr="00000000">
          <w:rPr>
            <w:sz w:val="28"/>
            <w:szCs w:val="28"/>
            <w:u w:val="single"/>
            <w:shd w:fill="f5f5f5" w:val="clear"/>
            <w:rtl w:val="0"/>
          </w:rPr>
          <w:t xml:space="preserve">https://www.sec.gov/files/ctf-written-input-aicpa-042125.pdf</w:t>
        </w:r>
      </w:hyperlink>
      <w:r w:rsidDel="00000000" w:rsidR="00000000" w:rsidRPr="00000000">
        <w:rPr>
          <w:sz w:val="28"/>
          <w:szCs w:val="28"/>
          <w:shd w:fill="f5f5f5" w:val="clear"/>
          <w:rtl w:val="0"/>
        </w:rPr>
        <w:t xml:space="preserve">); “Highlights potential conflicts between SEC staff interpretation and state reserve requirements.” (Keen: </w:t>
      </w:r>
      <w:hyperlink r:id="rId47">
        <w:r w:rsidDel="00000000" w:rsidR="00000000" w:rsidRPr="00000000">
          <w:rPr>
            <w:sz w:val="28"/>
            <w:szCs w:val="28"/>
            <w:u w:val="single"/>
            <w:shd w:fill="f5f5f5" w:val="clear"/>
            <w:rtl w:val="0"/>
          </w:rPr>
          <w:t xml:space="preserve">https://www.sec.gov/files/ctf-written-input-keen-043025.pdf</w:t>
        </w:r>
      </w:hyperlink>
      <w:r w:rsidDel="00000000" w:rsidR="00000000" w:rsidRPr="00000000">
        <w:rPr>
          <w:sz w:val="28"/>
          <w:szCs w:val="28"/>
          <w:shd w:fill="f5f5f5" w:val="clear"/>
          <w:rtl w:val="0"/>
        </w:rPr>
        <w:t xml:space="preserve">)</w:t>
      </w:r>
    </w:p>
    <w:p w:rsidR="00000000" w:rsidDel="00000000" w:rsidP="00000000" w:rsidRDefault="00000000" w:rsidRPr="00000000" w14:paraId="000001BD">
      <w:pPr>
        <w:numPr>
          <w:ilvl w:val="0"/>
          <w:numId w:val="3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Tokenization, tokenized securities, settlement and interoperability</w:t>
      </w:r>
    </w:p>
    <w:p w:rsidR="00000000" w:rsidDel="00000000" w:rsidP="00000000" w:rsidRDefault="00000000" w:rsidRPr="00000000" w14:paraId="000001BE">
      <w:pPr>
        <w:numPr>
          <w:ilvl w:val="1"/>
          <w:numId w:val="3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Computershare meeting memo and roundtable topics. Relevance score: 8.96. Snippet: “An Issuer Sponsored Tokenized Security (IST) is fungible between all modes of holding … interoperable solution connecting issuer to DTCC.” (</w:t>
      </w:r>
      <w:hyperlink r:id="rId48">
        <w:r w:rsidDel="00000000" w:rsidR="00000000" w:rsidRPr="00000000">
          <w:rPr>
            <w:sz w:val="28"/>
            <w:szCs w:val="28"/>
            <w:u w:val="single"/>
            <w:shd w:fill="f5f5f5" w:val="clear"/>
            <w:rtl w:val="0"/>
          </w:rPr>
          <w:t xml:space="preserve">https://www.sec.gov/files/ctf-memo-computershare-limited-072825.pdf</w:t>
        </w:r>
      </w:hyperlink>
      <w:r w:rsidDel="00000000" w:rsidR="00000000" w:rsidRPr="00000000">
        <w:rPr>
          <w:sz w:val="28"/>
          <w:szCs w:val="28"/>
          <w:shd w:fill="f5f5f5" w:val="clear"/>
          <w:rtl w:val="0"/>
        </w:rPr>
        <w:t xml:space="preserve">)</w:t>
      </w:r>
    </w:p>
    <w:p w:rsidR="00000000" w:rsidDel="00000000" w:rsidP="00000000" w:rsidRDefault="00000000" w:rsidRPr="00000000" w14:paraId="000001BF">
      <w:pPr>
        <w:numPr>
          <w:ilvl w:val="0"/>
          <w:numId w:val="3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Market structure &amp; trading issues (ETPs, MEV, surveillance, secondary markets)</w:t>
      </w:r>
    </w:p>
    <w:p w:rsidR="00000000" w:rsidDel="00000000" w:rsidP="00000000" w:rsidRDefault="00000000" w:rsidRPr="00000000" w14:paraId="000001C0">
      <w:pPr>
        <w:numPr>
          <w:ilvl w:val="1"/>
          <w:numId w:val="32"/>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RFI and roundtable themes; Commissioner Crenshaw remarks. Relevance score: 8.88 (Crenshaw) and 9.59 (Peirce RFI). Snippet: “Should the Commission create a new entity registration status with tailored registration requirements for any platform that trades crypto assets that are securities?” (Peirce RFI) (</w:t>
      </w:r>
      <w:hyperlink r:id="rId49">
        <w:r w:rsidDel="00000000" w:rsidR="00000000" w:rsidRPr="00000000">
          <w:rPr>
            <w:sz w:val="28"/>
            <w:szCs w:val="28"/>
            <w:u w:val="single"/>
            <w:shd w:fill="f5f5f5" w:val="clear"/>
            <w:rtl w:val="0"/>
          </w:rPr>
          <w:t xml:space="preserve">https://www.sec.gov/newsroom/speeches-statements/peirce-statement-rfi-022125</w:t>
        </w:r>
      </w:hyperlink>
      <w:r w:rsidDel="00000000" w:rsidR="00000000" w:rsidRPr="00000000">
        <w:rPr>
          <w:sz w:val="28"/>
          <w:szCs w:val="28"/>
          <w:shd w:fill="f5f5f5" w:val="clear"/>
          <w:rtl w:val="0"/>
        </w:rPr>
        <w:t xml:space="preserve">); “As we delve into today’s topics, we must bear in mind that the stakes could not be higher … are crypto assets securities … and should they be?” (Crenshaw remarks: </w:t>
      </w:r>
      <w:hyperlink r:id="rId50">
        <w:r w:rsidDel="00000000" w:rsidR="00000000" w:rsidRPr="00000000">
          <w:rPr>
            <w:sz w:val="28"/>
            <w:szCs w:val="28"/>
            <w:u w:val="single"/>
            <w:shd w:fill="f5f5f5" w:val="clear"/>
            <w:rtl w:val="0"/>
          </w:rPr>
          <w:t xml:space="preserve">https://www.sec.gov/newsroom/speeches-statements/crenshaw-remarks-crypto-roundtable-032125</w:t>
        </w:r>
      </w:hyperlink>
      <w:r w:rsidDel="00000000" w:rsidR="00000000" w:rsidRPr="00000000">
        <w:rPr>
          <w:sz w:val="28"/>
          <w:szCs w:val="28"/>
          <w:shd w:fill="f5f5f5" w:val="clear"/>
          <w:rtl w:val="0"/>
        </w:rPr>
        <w:t xml:space="preserv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Industry participants — recurring emphases and concerns</w:t>
      </w:r>
    </w:p>
    <w:p w:rsidR="00000000" w:rsidDel="00000000" w:rsidP="00000000" w:rsidRDefault="00000000" w:rsidRPr="00000000" w14:paraId="000001C2">
      <w:pPr>
        <w:numPr>
          <w:ilvl w:val="0"/>
          <w:numId w:val="68"/>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Practical fixes to enable innovation: safe harbors, sandboxes, tailored registration paths and rule amendments</w:t>
      </w:r>
    </w:p>
    <w:p w:rsidR="00000000" w:rsidDel="00000000" w:rsidP="00000000" w:rsidRDefault="00000000" w:rsidRPr="00000000" w14:paraId="000001C3">
      <w:pPr>
        <w:numPr>
          <w:ilvl w:val="1"/>
          <w:numId w:val="68"/>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Figure Markets (advocates sandboxes and safe harbor); Virtu (registration &amp; custody fixes). Relevance scores: 9.56 (Figure) / 9.05 (Virtu). Snippets: “A regulatory sandbox could foster blockchain innovation… tailored disclosure requirements for offerings or specific classes of crypto assets…” (Figure: </w:t>
      </w:r>
      <w:hyperlink r:id="rId51">
        <w:r w:rsidDel="00000000" w:rsidR="00000000" w:rsidRPr="00000000">
          <w:rPr>
            <w:sz w:val="28"/>
            <w:szCs w:val="28"/>
            <w:u w:val="single"/>
            <w:shd w:fill="f5f5f5" w:val="clear"/>
            <w:rtl w:val="0"/>
          </w:rPr>
          <w:t xml:space="preserve">https://www.sec.gov/files/ctf-input-figure-markets-3-25-25.pdf</w:t>
        </w:r>
      </w:hyperlink>
      <w:r w:rsidDel="00000000" w:rsidR="00000000" w:rsidRPr="00000000">
        <w:rPr>
          <w:sz w:val="28"/>
          <w:szCs w:val="28"/>
          <w:shd w:fill="f5f5f5" w:val="clear"/>
          <w:rtl w:val="0"/>
        </w:rPr>
        <w:t xml:space="preserve">). “Broker‑dealer custody rules should be revised… consistent risk‑based haircuts.” (Virtu: </w:t>
      </w:r>
      <w:hyperlink r:id="rId52">
        <w:r w:rsidDel="00000000" w:rsidR="00000000" w:rsidRPr="00000000">
          <w:rPr>
            <w:sz w:val="28"/>
            <w:szCs w:val="28"/>
            <w:u w:val="single"/>
            <w:shd w:fill="f5f5f5" w:val="clear"/>
            <w:rtl w:val="0"/>
          </w:rPr>
          <w:t xml:space="preserve">https://www.sec.gov/files/ctf-input-smith-2025-3-20.pdf</w:t>
        </w:r>
      </w:hyperlink>
      <w:r w:rsidDel="00000000" w:rsidR="00000000" w:rsidRPr="00000000">
        <w:rPr>
          <w:sz w:val="28"/>
          <w:szCs w:val="28"/>
          <w:shd w:fill="f5f5f5" w:val="clear"/>
          <w:rtl w:val="0"/>
        </w:rPr>
        <w:t xml:space="preserve">)</w:t>
      </w:r>
    </w:p>
    <w:p w:rsidR="00000000" w:rsidDel="00000000" w:rsidP="00000000" w:rsidRDefault="00000000" w:rsidRPr="00000000" w14:paraId="000001C4">
      <w:pPr>
        <w:numPr>
          <w:ilvl w:val="0"/>
          <w:numId w:val="68"/>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Operational and market‑structure specificity: haircuts, proof‑of‑reserves, surveillance‑sharing, measurables for liquidity/size for ETPs</w:t>
      </w:r>
    </w:p>
    <w:p w:rsidR="00000000" w:rsidDel="00000000" w:rsidP="00000000" w:rsidRDefault="00000000" w:rsidRPr="00000000" w14:paraId="000001C5">
      <w:pPr>
        <w:numPr>
          <w:ilvl w:val="1"/>
          <w:numId w:val="68"/>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PwC &amp; ETP discussions in RFI. Relevance score: 9.78 (PwC) / Peirce RFI 9.59. Snippets: “International coordination is important… identify how characteristics of different crypto assets determine their security status” (PwC: </w:t>
      </w:r>
      <w:hyperlink r:id="rId53">
        <w:r w:rsidDel="00000000" w:rsidR="00000000" w:rsidRPr="00000000">
          <w:rPr>
            <w:sz w:val="28"/>
            <w:szCs w:val="28"/>
            <w:u w:val="single"/>
            <w:shd w:fill="f5f5f5" w:val="clear"/>
            <w:rtl w:val="0"/>
          </w:rPr>
          <w:t xml:space="preserve">https://www.sec.gov/files/ctf-written-input-pwc-050225.pdf</w:t>
        </w:r>
      </w:hyperlink>
      <w:r w:rsidDel="00000000" w:rsidR="00000000" w:rsidRPr="00000000">
        <w:rPr>
          <w:sz w:val="28"/>
          <w:szCs w:val="28"/>
          <w:shd w:fill="f5f5f5" w:val="clear"/>
          <w:rtl w:val="0"/>
        </w:rPr>
        <w:t xml:space="preserve">). Peirce described ETP metrics questions: market cap, trading volume, price convergence, etc. (</w:t>
      </w:r>
      <w:hyperlink r:id="rId54">
        <w:r w:rsidDel="00000000" w:rsidR="00000000" w:rsidRPr="00000000">
          <w:rPr>
            <w:sz w:val="28"/>
            <w:szCs w:val="28"/>
            <w:u w:val="single"/>
            <w:shd w:fill="f5f5f5" w:val="clear"/>
            <w:rtl w:val="0"/>
          </w:rPr>
          <w:t xml:space="preserve">https://www.sec.gov/newsroom/speeches-statements/peirce-statement-rfi-022125</w:t>
        </w:r>
      </w:hyperlink>
      <w:r w:rsidDel="00000000" w:rsidR="00000000" w:rsidRPr="00000000">
        <w:rPr>
          <w:sz w:val="28"/>
          <w:szCs w:val="28"/>
          <w:shd w:fill="f5f5f5" w:val="clear"/>
          <w:rtl w:val="0"/>
        </w:rPr>
        <w:t xml:space="preserve">)</w:t>
      </w:r>
    </w:p>
    <w:p w:rsidR="00000000" w:rsidDel="00000000" w:rsidP="00000000" w:rsidRDefault="00000000" w:rsidRPr="00000000" w14:paraId="000001C6">
      <w:pPr>
        <w:numPr>
          <w:ilvl w:val="0"/>
          <w:numId w:val="68"/>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Standards, assurance and accounting guidance (audit/attestation firms and industry bodies pressing for common frameworks)</w:t>
      </w:r>
    </w:p>
    <w:p w:rsidR="00000000" w:rsidDel="00000000" w:rsidP="00000000" w:rsidRDefault="00000000" w:rsidRPr="00000000" w14:paraId="000001C7">
      <w:pPr>
        <w:numPr>
          <w:ilvl w:val="1"/>
          <w:numId w:val="68"/>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AICPA and PwC submissions. Relevance score: 9.31 (AICPA), 9.78 (PwC). Snippets: “Attestation Subgroup… Criteria for Stablecoin Reporting… guidance for practitioners performing attestation engagements” (AICPA: </w:t>
      </w:r>
      <w:hyperlink r:id="rId55">
        <w:r w:rsidDel="00000000" w:rsidR="00000000" w:rsidRPr="00000000">
          <w:rPr>
            <w:sz w:val="28"/>
            <w:szCs w:val="28"/>
            <w:u w:val="single"/>
            <w:shd w:fill="f5f5f5" w:val="clear"/>
            <w:rtl w:val="0"/>
          </w:rPr>
          <w:t xml:space="preserve">https://www.sec.gov/files/ctf-written-input-aicpa-042125.pdf</w:t>
        </w:r>
      </w:hyperlink>
      <w:r w:rsidDel="00000000" w:rsidR="00000000" w:rsidRPr="00000000">
        <w:rPr>
          <w:sz w:val="28"/>
          <w:szCs w:val="28"/>
          <w:shd w:fill="f5f5f5" w:val="clear"/>
          <w:rtl w:val="0"/>
        </w:rPr>
        <w:t xml:space="preserve">)</w:t>
      </w:r>
    </w:p>
    <w:p w:rsidR="00000000" w:rsidDel="00000000" w:rsidP="00000000" w:rsidRDefault="00000000" w:rsidRPr="00000000" w14:paraId="000001C8">
      <w:pPr>
        <w:numPr>
          <w:ilvl w:val="0"/>
          <w:numId w:val="68"/>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International coordination and cross‑regulator alignment (CFTC, state regulators, foreign authorities)</w:t>
      </w:r>
    </w:p>
    <w:p w:rsidR="00000000" w:rsidDel="00000000" w:rsidP="00000000" w:rsidRDefault="00000000" w:rsidRPr="00000000" w14:paraId="000001C9">
      <w:pPr>
        <w:numPr>
          <w:ilvl w:val="1"/>
          <w:numId w:val="68"/>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PwC and multiple industry memos recommend cross‑agency and international alignment. Relevance score: 9.78 (PwC). Snippet: “Changes to these regulations would therefore require collaboration between the Commission and the CFTC … ensure consistency between the respective requirements.” (</w:t>
      </w:r>
      <w:hyperlink r:id="rId56">
        <w:r w:rsidDel="00000000" w:rsidR="00000000" w:rsidRPr="00000000">
          <w:rPr>
            <w:sz w:val="28"/>
            <w:szCs w:val="28"/>
            <w:u w:val="single"/>
            <w:shd w:fill="f5f5f5" w:val="clear"/>
            <w:rtl w:val="0"/>
          </w:rPr>
          <w:t xml:space="preserve">https://www.sec.gov/files/ctf-written-input-pwc-050225.pdf</w:t>
        </w:r>
      </w:hyperlink>
      <w:r w:rsidDel="00000000" w:rsidR="00000000" w:rsidRPr="00000000">
        <w:rPr>
          <w:sz w:val="28"/>
          <w:szCs w:val="28"/>
          <w:shd w:fill="f5f5f5" w:val="clear"/>
          <w:rtl w:val="0"/>
        </w:rPr>
        <w:t xml:space="preserve">)</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Academic participants — recurring emphases and concerns</w:t>
      </w:r>
    </w:p>
    <w:p w:rsidR="00000000" w:rsidDel="00000000" w:rsidP="00000000" w:rsidRDefault="00000000" w:rsidRPr="00000000" w14:paraId="000001CB">
      <w:pPr>
        <w:numPr>
          <w:ilvl w:val="0"/>
          <w:numId w:val="30"/>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Defense of established legal tests (Howey) and careful legal analysis — skepticism of quick statutory or interpretive changes that undermine investor protections</w:t>
      </w:r>
    </w:p>
    <w:p w:rsidR="00000000" w:rsidDel="00000000" w:rsidP="00000000" w:rsidRDefault="00000000" w:rsidRPr="00000000" w14:paraId="000001CC">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Lee Reiners prepared statement (Duke). Relevance score: 8.69. Snippet: “Howey Overview … Howey has been consistently applied to cryptocurrency cases … SEC v. Telegram, Kik, LBRY, Ripple….” (</w:t>
      </w:r>
      <w:hyperlink r:id="rId57">
        <w:r w:rsidDel="00000000" w:rsidR="00000000" w:rsidRPr="00000000">
          <w:rPr>
            <w:sz w:val="28"/>
            <w:szCs w:val="28"/>
            <w:u w:val="single"/>
            <w:shd w:fill="f5f5f5" w:val="clear"/>
            <w:rtl w:val="0"/>
          </w:rPr>
          <w:t xml:space="preserve">https://www.sec.gov/files/ctf-input-reiners-2025-3-18.pdf</w:t>
        </w:r>
      </w:hyperlink>
      <w:r w:rsidDel="00000000" w:rsidR="00000000" w:rsidRPr="00000000">
        <w:rPr>
          <w:sz w:val="28"/>
          <w:szCs w:val="28"/>
          <w:shd w:fill="f5f5f5" w:val="clear"/>
          <w:rtl w:val="0"/>
        </w:rPr>
        <w:t xml:space="preserve">)</w:t>
      </w:r>
    </w:p>
    <w:p w:rsidR="00000000" w:rsidDel="00000000" w:rsidP="00000000" w:rsidRDefault="00000000" w:rsidRPr="00000000" w14:paraId="000001CD">
      <w:pPr>
        <w:numPr>
          <w:ilvl w:val="0"/>
          <w:numId w:val="3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Focus on investor protection, systemic risk, enforcement and legal certainty (warning about weakening legal foundations)</w:t>
      </w:r>
    </w:p>
    <w:p w:rsidR="00000000" w:rsidDel="00000000" w:rsidP="00000000" w:rsidRDefault="00000000" w:rsidRPr="00000000" w14:paraId="000001CE">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Commissioner Crenshaw’s roundtable remarks reflect the tone academics often adopt: cautious about changing the definition of “security.” Relevance score: 8.88. Snippet: “We cannot poke holes in the foundation without expecting the walls may crack … Modifying the law to facilitate the success of a chosen product category is fraught with risk.” (</w:t>
      </w:r>
      <w:hyperlink r:id="rId58">
        <w:r w:rsidDel="00000000" w:rsidR="00000000" w:rsidRPr="00000000">
          <w:rPr>
            <w:sz w:val="28"/>
            <w:szCs w:val="28"/>
            <w:u w:val="single"/>
            <w:shd w:fill="f5f5f5" w:val="clear"/>
            <w:rtl w:val="0"/>
          </w:rPr>
          <w:t xml:space="preserve">https://www.sec.gov/newsroom/speeches-statements/crenshaw-remarks-crypto-roundtable-032125</w:t>
        </w:r>
      </w:hyperlink>
      <w:r w:rsidDel="00000000" w:rsidR="00000000" w:rsidRPr="00000000">
        <w:rPr>
          <w:sz w:val="28"/>
          <w:szCs w:val="28"/>
          <w:shd w:fill="f5f5f5" w:val="clear"/>
          <w:rtl w:val="0"/>
        </w:rPr>
        <w:t xml:space="preserve">)</w:t>
      </w:r>
    </w:p>
    <w:p w:rsidR="00000000" w:rsidDel="00000000" w:rsidP="00000000" w:rsidRDefault="00000000" w:rsidRPr="00000000" w14:paraId="000001CF">
      <w:pPr>
        <w:numPr>
          <w:ilvl w:val="0"/>
          <w:numId w:val="3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Detailed legal and regulatory conflict analyses (e.g., stablecoin reserve conflicts with state rules, interplay of securities/commodity law)</w:t>
      </w:r>
    </w:p>
    <w:p w:rsidR="00000000" w:rsidDel="00000000" w:rsidP="00000000" w:rsidRDefault="00000000" w:rsidRPr="00000000" w14:paraId="000001D0">
      <w:pPr>
        <w:numPr>
          <w:ilvl w:val="1"/>
          <w:numId w:val="3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Stephen Keen on stablecoins and federal/state conflicts; Lawrence Trautman’s regulatory history paper. Relevance scores: 8.82 (Keen) / 9.60 (Trautman). Snippets: “Highlights a potential conflict between the SEC's requirements for Covered Stablecoins and state financial authority requirements, particularly NYDFS.” (Keen: </w:t>
      </w:r>
      <w:hyperlink r:id="rId59">
        <w:r w:rsidDel="00000000" w:rsidR="00000000" w:rsidRPr="00000000">
          <w:rPr>
            <w:sz w:val="28"/>
            <w:szCs w:val="28"/>
            <w:u w:val="single"/>
            <w:shd w:fill="f5f5f5" w:val="clear"/>
            <w:rtl w:val="0"/>
          </w:rPr>
          <w:t xml:space="preserve">https://www.sec.gov/files/ctf-written-input-keen-043025.pdf</w:t>
        </w:r>
      </w:hyperlink>
      <w:r w:rsidDel="00000000" w:rsidR="00000000" w:rsidRPr="00000000">
        <w:rPr>
          <w:sz w:val="28"/>
          <w:szCs w:val="28"/>
          <w:shd w:fill="f5f5f5" w:val="clear"/>
          <w:rtl w:val="0"/>
        </w:rPr>
        <w:t xml:space="preserve">); “Paper examines the regulatory environment … impact of deregulatory approaches.” (Trautman: </w:t>
      </w:r>
      <w:hyperlink r:id="rId60">
        <w:r w:rsidDel="00000000" w:rsidR="00000000" w:rsidRPr="00000000">
          <w:rPr>
            <w:sz w:val="28"/>
            <w:szCs w:val="28"/>
            <w:u w:val="single"/>
            <w:shd w:fill="f5f5f5" w:val="clear"/>
            <w:rtl w:val="0"/>
          </w:rPr>
          <w:t xml:space="preserve">https://www.sec.gov/files/070925-crypto-time-trump.pdf</w:t>
        </w:r>
      </w:hyperlink>
      <w:r w:rsidDel="00000000" w:rsidR="00000000" w:rsidRPr="00000000">
        <w:rPr>
          <w:sz w:val="28"/>
          <w:szCs w:val="28"/>
          <w:shd w:fill="f5f5f5" w:val="clear"/>
          <w:rtl w:val="0"/>
        </w:rPr>
        <w:t xml:space="preserve">)</w:t>
      </w:r>
    </w:p>
    <w:p w:rsidR="00000000" w:rsidDel="00000000" w:rsidP="00000000" w:rsidRDefault="00000000" w:rsidRPr="00000000" w14:paraId="000001D1">
      <w:pPr>
        <w:numPr>
          <w:ilvl w:val="0"/>
          <w:numId w:val="3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Calls for empirical, doctrinal, and precedent‑based justification for any change (many academic submissions provide legal review and case citations)</w:t>
      </w:r>
    </w:p>
    <w:p w:rsidR="00000000" w:rsidDel="00000000" w:rsidP="00000000" w:rsidRDefault="00000000" w:rsidRPr="00000000" w14:paraId="000001D2">
      <w:pPr>
        <w:numPr>
          <w:ilvl w:val="1"/>
          <w:numId w:val="30"/>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Lee Reiners’ prepared statement includes case law analysis (Howey and litigation history). Relevance score: 8.69. Snippet: “Howey Has Been Consistently Applied to Cryptocurrency Cases … SEC v. Shavers … Telegram … Kik … LBRY … Ripple … Terraform.” (</w:t>
      </w:r>
      <w:hyperlink r:id="rId61">
        <w:r w:rsidDel="00000000" w:rsidR="00000000" w:rsidRPr="00000000">
          <w:rPr>
            <w:sz w:val="28"/>
            <w:szCs w:val="28"/>
            <w:u w:val="single"/>
            <w:shd w:fill="f5f5f5" w:val="clear"/>
            <w:rtl w:val="0"/>
          </w:rPr>
          <w:t xml:space="preserve">https://www.sec.gov/files/ctf-input-reiners-2025-3-18.pdf</w:t>
        </w:r>
      </w:hyperlink>
      <w:r w:rsidDel="00000000" w:rsidR="00000000" w:rsidRPr="00000000">
        <w:rPr>
          <w:sz w:val="28"/>
          <w:szCs w:val="28"/>
          <w:shd w:fill="f5f5f5" w:val="clear"/>
          <w:rtl w:val="0"/>
        </w:rPr>
        <w:t xml:space="preserv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Where industry and academics converge vs. diverge</w:t>
      </w:r>
    </w:p>
    <w:p w:rsidR="00000000" w:rsidDel="00000000" w:rsidP="00000000" w:rsidRDefault="00000000" w:rsidRPr="00000000" w14:paraId="000001D4">
      <w:pPr>
        <w:numPr>
          <w:ilvl w:val="0"/>
          <w:numId w:val="85"/>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Convergence (common ground)</w:t>
      </w:r>
    </w:p>
    <w:p w:rsidR="00000000" w:rsidDel="00000000" w:rsidP="00000000" w:rsidRDefault="00000000" w:rsidRPr="00000000" w14:paraId="000001D5">
      <w:pPr>
        <w:numPr>
          <w:ilvl w:val="1"/>
          <w:numId w:val="8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Broad agreement on the need for greater clarity and predictability (both groups press for taxonomy/definitions, more workable disclosure, better custody rules, and standardized attestations for stablecoins).</w:t>
      </w:r>
    </w:p>
    <w:p w:rsidR="00000000" w:rsidDel="00000000" w:rsidP="00000000" w:rsidRDefault="00000000" w:rsidRPr="00000000" w14:paraId="000001D6">
      <w:pPr>
        <w:numPr>
          <w:ilvl w:val="2"/>
          <w:numId w:val="8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Evidence: Peirce RFI (9.59) and many industry submissions (PwC 9.78, AICPA 9.31) all ask for clarity and operational standards. (See snippets above.)</w:t>
      </w:r>
    </w:p>
    <w:p w:rsidR="00000000" w:rsidDel="00000000" w:rsidP="00000000" w:rsidRDefault="00000000" w:rsidRPr="00000000" w14:paraId="000001D7">
      <w:pPr>
        <w:numPr>
          <w:ilvl w:val="0"/>
          <w:numId w:val="85"/>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Divergence (primary tensions)</w:t>
      </w:r>
    </w:p>
    <w:p w:rsidR="00000000" w:rsidDel="00000000" w:rsidP="00000000" w:rsidRDefault="00000000" w:rsidRPr="00000000" w14:paraId="000001D8">
      <w:pPr>
        <w:numPr>
          <w:ilvl w:val="1"/>
          <w:numId w:val="8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Industry: emphasizes enabling innovation via practical regulatory adjustments (safe harbors, sandboxes, tailored registrations, changes to custody and net‑capital treatments).</w:t>
      </w:r>
    </w:p>
    <w:p w:rsidR="00000000" w:rsidDel="00000000" w:rsidP="00000000" w:rsidRDefault="00000000" w:rsidRPr="00000000" w14:paraId="000001D9">
      <w:pPr>
        <w:numPr>
          <w:ilvl w:val="2"/>
          <w:numId w:val="8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Evidence: Figure, Virtu, PwC (see above).</w:t>
      </w:r>
    </w:p>
    <w:p w:rsidR="00000000" w:rsidDel="00000000" w:rsidP="00000000" w:rsidRDefault="00000000" w:rsidRPr="00000000" w14:paraId="000001DA">
      <w:pPr>
        <w:numPr>
          <w:ilvl w:val="1"/>
          <w:numId w:val="8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Academics: emphasize strict adherence to existing securities law doctrine, exhaustive legal analysis, and caution about any loosening that could impair investor protections or create regulatory arbitrage.</w:t>
      </w:r>
    </w:p>
    <w:p w:rsidR="00000000" w:rsidDel="00000000" w:rsidP="00000000" w:rsidRDefault="00000000" w:rsidRPr="00000000" w14:paraId="000001DB">
      <w:pPr>
        <w:numPr>
          <w:ilvl w:val="2"/>
          <w:numId w:val="85"/>
        </w:numPr>
        <w:pBdr>
          <w:top w:color="auto" w:space="0" w:sz="0" w:val="none"/>
          <w:bottom w:color="auto" w:space="0" w:sz="0" w:val="none"/>
          <w:right w:color="auto" w:space="0" w:sz="0" w:val="none"/>
          <w:between w:color="auto" w:space="0" w:sz="0" w:val="none"/>
        </w:pBdr>
        <w:spacing w:after="360" w:before="0" w:beforeAutospacing="0" w:line="259" w:lineRule="auto"/>
        <w:ind w:left="2940" w:hanging="360"/>
        <w:rPr>
          <w:color w:val="000000"/>
          <w:sz w:val="28"/>
          <w:szCs w:val="28"/>
          <w:shd w:fill="f5f5f5" w:val="clear"/>
        </w:rPr>
      </w:pPr>
      <w:r w:rsidDel="00000000" w:rsidR="00000000" w:rsidRPr="00000000">
        <w:rPr>
          <w:sz w:val="28"/>
          <w:szCs w:val="28"/>
          <w:shd w:fill="f5f5f5" w:val="clear"/>
          <w:rtl w:val="0"/>
        </w:rPr>
        <w:t xml:space="preserve">Evidence: Reiners, Keen, Trautman (see above).</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Implications (what appears most important to participants and to policy design)</w:t>
      </w:r>
    </w:p>
    <w:p w:rsidR="00000000" w:rsidDel="00000000" w:rsidP="00000000" w:rsidRDefault="00000000" w:rsidRPr="00000000" w14:paraId="000001DD">
      <w:pPr>
        <w:numPr>
          <w:ilvl w:val="0"/>
          <w:numId w:val="19"/>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Short term: high priority expectations around custody guidance, standardized attestations/proof‑of‑reserves for stablecoins, and clearer criteria for when tokens are securities.</w:t>
      </w:r>
    </w:p>
    <w:p w:rsidR="00000000" w:rsidDel="00000000" w:rsidP="00000000" w:rsidRDefault="00000000" w:rsidRPr="00000000" w14:paraId="000001DE">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multiple submissions and roundtable topics repeatedly ask for these items (AICPA, PwC, Figure, Peirce RFI).</w:t>
      </w:r>
    </w:p>
    <w:p w:rsidR="00000000" w:rsidDel="00000000" w:rsidP="00000000" w:rsidRDefault="00000000" w:rsidRPr="00000000" w14:paraId="000001DF">
      <w:pPr>
        <w:numPr>
          <w:ilvl w:val="0"/>
          <w:numId w:val="1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Medium term: discussions around sandboxes, tailored registration regimes, and tokenized securities infrastructure (interoperability with DTCC) if the SEC wants to encourage on‑chain adoption without undermining market protections.</w:t>
      </w:r>
    </w:p>
    <w:p w:rsidR="00000000" w:rsidDel="00000000" w:rsidP="00000000" w:rsidRDefault="00000000" w:rsidRPr="00000000" w14:paraId="000001E0">
      <w:pPr>
        <w:numPr>
          <w:ilvl w:val="1"/>
          <w:numId w:val="19"/>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Computershare memo (tokenized securities), PwC, Figure (see above).</w:t>
      </w:r>
    </w:p>
    <w:p w:rsidR="00000000" w:rsidDel="00000000" w:rsidP="00000000" w:rsidRDefault="00000000" w:rsidRPr="00000000" w14:paraId="000001E1">
      <w:pPr>
        <w:numPr>
          <w:ilvl w:val="0"/>
          <w:numId w:val="19"/>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Regulatory caution: academics and some regulators stress that any move to enable innovation should not weaken investor protections or destabilize existing capital‑markets law.</w:t>
      </w:r>
    </w:p>
    <w:p w:rsidR="00000000" w:rsidDel="00000000" w:rsidP="00000000" w:rsidRDefault="00000000" w:rsidRPr="00000000" w14:paraId="000001E2">
      <w:pPr>
        <w:numPr>
          <w:ilvl w:val="1"/>
          <w:numId w:val="19"/>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rPr>
          <w:color w:val="000000"/>
          <w:sz w:val="28"/>
          <w:szCs w:val="28"/>
          <w:shd w:fill="f5f5f5" w:val="clear"/>
        </w:rPr>
      </w:pPr>
      <w:r w:rsidDel="00000000" w:rsidR="00000000" w:rsidRPr="00000000">
        <w:rPr>
          <w:sz w:val="28"/>
          <w:szCs w:val="28"/>
          <w:shd w:fill="f5f5f5" w:val="clear"/>
          <w:rtl w:val="0"/>
        </w:rPr>
        <w:t xml:space="preserve">Evidence: Crenshaw remarks and Reiners’ prepared statement.</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8"/>
          <w:szCs w:val="28"/>
          <w:shd w:fill="f5f5f5" w:val="clear"/>
        </w:rPr>
      </w:pPr>
      <w:r w:rsidDel="00000000" w:rsidR="00000000" w:rsidRPr="00000000">
        <w:rPr>
          <w:sz w:val="28"/>
          <w:szCs w:val="28"/>
          <w:shd w:fill="f5f5f5" w:val="clear"/>
          <w:rtl w:val="0"/>
        </w:rPr>
        <w:t xml:space="preserve">If you’d like, I can:</w:t>
      </w:r>
    </w:p>
    <w:p w:rsidR="00000000" w:rsidDel="00000000" w:rsidP="00000000" w:rsidRDefault="00000000" w:rsidRPr="00000000" w14:paraId="000001E4">
      <w:pPr>
        <w:numPr>
          <w:ilvl w:val="0"/>
          <w:numId w:val="50"/>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8"/>
          <w:szCs w:val="28"/>
          <w:shd w:fill="f5f5f5" w:val="clear"/>
        </w:rPr>
      </w:pPr>
      <w:r w:rsidDel="00000000" w:rsidR="00000000" w:rsidRPr="00000000">
        <w:rPr>
          <w:sz w:val="28"/>
          <w:szCs w:val="28"/>
          <w:shd w:fill="f5f5f5" w:val="clear"/>
          <w:rtl w:val="0"/>
        </w:rPr>
        <w:t xml:space="preserve">Pull direct quotes from a selected set of industry and academic written inputs (e.g., Lee Reiners, PwC, AICPA, Figure, Virtu) and assemble a side‑by‑side table showing exact language on custody, safe harbors, and security status; or</w:t>
      </w:r>
    </w:p>
    <w:p w:rsidR="00000000" w:rsidDel="00000000" w:rsidP="00000000" w:rsidRDefault="00000000" w:rsidRPr="00000000" w14:paraId="000001E5">
      <w:pPr>
        <w:numPr>
          <w:ilvl w:val="0"/>
          <w:numId w:val="50"/>
        </w:numPr>
        <w:pBdr>
          <w:top w:color="auto" w:space="0" w:sz="0" w:val="none"/>
          <w:bottom w:color="auto" w:space="0" w:sz="0" w:val="none"/>
          <w:right w:color="auto" w:space="0" w:sz="0" w:val="none"/>
          <w:between w:color="auto" w:space="0" w:sz="0" w:val="none"/>
        </w:pBdr>
        <w:shd w:fill="0b1120" w:val="clear"/>
        <w:spacing w:after="280" w:before="0" w:beforeAutospacing="0" w:line="259" w:lineRule="auto"/>
        <w:ind w:left="980" w:hanging="360"/>
        <w:rPr>
          <w:color w:val="000000"/>
          <w:sz w:val="28"/>
          <w:szCs w:val="28"/>
          <w:shd w:fill="f5f5f5" w:val="clear"/>
        </w:rPr>
      </w:pPr>
      <w:r w:rsidDel="00000000" w:rsidR="00000000" w:rsidRPr="00000000">
        <w:rPr>
          <w:sz w:val="28"/>
          <w:szCs w:val="28"/>
          <w:shd w:fill="f5f5f5" w:val="clear"/>
          <w:rtl w:val="0"/>
        </w:rPr>
        <w:t xml:space="preserve">Produce a short briefing (2–3 pages) for policymakers summarizing the top 6 actions the SEC could consider that would address the most common industry asks while responding to academic concerns about investor protection.</w:t>
      </w:r>
    </w:p>
    <w:p w:rsidR="00000000" w:rsidDel="00000000" w:rsidP="00000000" w:rsidRDefault="00000000" w:rsidRPr="00000000" w14:paraId="000001E6">
      <w:pPr>
        <w:spacing w:after="240" w:before="240" w:line="259" w:lineRule="auto"/>
        <w:jc w:val="both"/>
        <w:rPr>
          <w:rFonts w:ascii="Calibri" w:cs="Calibri" w:eastAsia="Calibri" w:hAnsi="Calibri"/>
          <w:sz w:val="28"/>
          <w:szCs w:val="28"/>
          <w:shd w:fill="f5f5f5" w:val="clear"/>
        </w:rPr>
      </w:pPr>
      <w:r w:rsidDel="00000000" w:rsidR="00000000" w:rsidRPr="00000000">
        <w:rPr>
          <w:rtl w:val="0"/>
        </w:rPr>
      </w:r>
    </w:p>
    <w:p w:rsidR="00000000" w:rsidDel="00000000" w:rsidP="00000000" w:rsidRDefault="00000000" w:rsidRPr="00000000" w14:paraId="000001E7">
      <w:pPr>
        <w:spacing w:after="240" w:before="240" w:line="259" w:lineRule="auto"/>
        <w:jc w:val="both"/>
        <w:rPr>
          <w:rFonts w:ascii="Calibri" w:cs="Calibri" w:eastAsia="Calibri" w:hAnsi="Calibri"/>
          <w:sz w:val="28"/>
          <w:szCs w:val="28"/>
          <w:shd w:fill="f5f5f5" w:val="clear"/>
        </w:rPr>
      </w:pPr>
      <w:hyperlink r:id="rId62">
        <w:r w:rsidDel="00000000" w:rsidR="00000000" w:rsidRPr="00000000">
          <w:rPr>
            <w:rFonts w:ascii="Calibri" w:cs="Calibri" w:eastAsia="Calibri" w:hAnsi="Calibri"/>
            <w:color w:val="1155cc"/>
            <w:sz w:val="28"/>
            <w:szCs w:val="28"/>
            <w:u w:val="single"/>
            <w:shd w:fill="f5f5f5" w:val="clear"/>
            <w:rtl w:val="0"/>
          </w:rPr>
          <w:t xml:space="preserve">Perplexity.Ai</w:t>
        </w:r>
      </w:hyperlink>
      <w:r w:rsidDel="00000000" w:rsidR="00000000" w:rsidRPr="00000000">
        <w:rPr>
          <w:rtl w:val="0"/>
        </w:rPr>
      </w:r>
    </w:p>
    <w:p w:rsidR="00000000" w:rsidDel="00000000" w:rsidP="00000000" w:rsidRDefault="00000000" w:rsidRPr="00000000" w14:paraId="000001E8">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Across the Crypto Task Force materials, industry voices focus on reducing regulatory friction and creating usable paths to compliance, while academics emphasize doctrinal coherence, clear taxonomies, and preserving the benefits of decentralization and on‑chain transparency.sec+5</w:t>
      </w:r>
    </w:p>
    <w:p w:rsidR="00000000" w:rsidDel="00000000" w:rsidP="00000000" w:rsidRDefault="00000000" w:rsidRPr="00000000" w14:paraId="000001E9">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1uxcnvsj9hyb" w:id="37"/>
      <w:bookmarkEnd w:id="37"/>
      <w:r w:rsidDel="00000000" w:rsidR="00000000" w:rsidRPr="00000000">
        <w:rPr>
          <w:rFonts w:ascii="Calibri" w:cs="Calibri" w:eastAsia="Calibri" w:hAnsi="Calibri"/>
          <w:b w:val="1"/>
          <w:bCs w:val="1"/>
          <w:sz w:val="34"/>
          <w:szCs w:val="34"/>
          <w:shd w:fill="f5f5f5" w:val="clear"/>
          <w:rtl w:val="0"/>
        </w:rPr>
        <w:t xml:space="preserve">Industry themes and concerns</w:t>
      </w:r>
    </w:p>
    <w:p w:rsidR="00000000" w:rsidDel="00000000" w:rsidP="00000000" w:rsidRDefault="00000000" w:rsidRPr="00000000" w14:paraId="000001EA">
      <w:pPr>
        <w:numPr>
          <w:ilvl w:val="0"/>
          <w:numId w:val="71"/>
        </w:numPr>
        <w:spacing w:after="0" w:afterAutospacing="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Predictable, workable paths to registration.</w:t>
      </w:r>
      <w:r w:rsidDel="00000000" w:rsidR="00000000" w:rsidRPr="00000000">
        <w:rPr>
          <w:rFonts w:ascii="Calibri" w:cs="Calibri" w:eastAsia="Calibri" w:hAnsi="Calibri"/>
          <w:sz w:val="28"/>
          <w:szCs w:val="28"/>
          <w:shd w:fill="f5f5f5" w:val="clear"/>
          <w:rtl w:val="0"/>
        </w:rPr>
        <w:t xml:space="preserve"> Industry participants repeatedly stress that “just come in and register” has not been realistic, and ask for fit‑for‑purpose broker‑dealer, exchange, and custody regimes (e.g., alternatives to the special‑purpose broker‑dealer regime, clearer custody rules, and tailored disclosure frameworks).sec+2[</w:t>
      </w:r>
      <w:hyperlink r:id="rId63">
        <w:r w:rsidDel="00000000" w:rsidR="00000000" w:rsidRPr="00000000">
          <w:rPr>
            <w:rFonts w:ascii="Calibri" w:cs="Calibri" w:eastAsia="Calibri" w:hAnsi="Calibri"/>
            <w:color w:val="1155cc"/>
            <w:sz w:val="28"/>
            <w:szCs w:val="28"/>
            <w:u w:val="single"/>
            <w:shd w:fill="f5f5f5" w:val="clear"/>
            <w:rtl w:val="0"/>
          </w:rPr>
          <w:t xml:space="preserve">youtube</w:t>
        </w:r>
      </w:hyperlink>
      <w:r w:rsidDel="00000000" w:rsidR="00000000" w:rsidRPr="00000000">
        <w:rPr>
          <w:rFonts w:ascii="Calibri" w:cs="Calibri" w:eastAsia="Calibri" w:hAnsi="Calibri"/>
          <w:sz w:val="28"/>
          <w:szCs w:val="28"/>
          <w:shd w:fill="f5f5f5" w:val="clear"/>
          <w:rtl w:val="0"/>
        </w:rPr>
        <w:t xml:space="preserve">]​</w:t>
        <w:br w:type="textWrapping"/>
      </w:r>
    </w:p>
    <w:p w:rsidR="00000000" w:rsidDel="00000000" w:rsidP="00000000" w:rsidRDefault="00000000" w:rsidRPr="00000000" w14:paraId="000001EB">
      <w:pPr>
        <w:numPr>
          <w:ilvl w:val="0"/>
          <w:numId w:val="71"/>
        </w:numPr>
        <w:spacing w:after="0" w:afterAutospacing="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Regulatory friction and competitive harm.</w:t>
      </w:r>
      <w:r w:rsidDel="00000000" w:rsidR="00000000" w:rsidRPr="00000000">
        <w:rPr>
          <w:rFonts w:ascii="Calibri" w:cs="Calibri" w:eastAsia="Calibri" w:hAnsi="Calibri"/>
          <w:sz w:val="28"/>
          <w:szCs w:val="28"/>
          <w:shd w:fill="f5f5f5" w:val="clear"/>
          <w:rtl w:val="0"/>
        </w:rPr>
        <w:t xml:space="preserve"> Firms highlight that current rules make it hard for SEC‑regulated intermediaries to custody crypto or to integrate DeFi, which they argue pushes activity offshore and disadvantages compliant U.S. actors.sec+1[</w:t>
      </w:r>
      <w:hyperlink r:id="rId64">
        <w:r w:rsidDel="00000000" w:rsidR="00000000" w:rsidRPr="00000000">
          <w:rPr>
            <w:rFonts w:ascii="Calibri" w:cs="Calibri" w:eastAsia="Calibri" w:hAnsi="Calibri"/>
            <w:color w:val="1155cc"/>
            <w:sz w:val="28"/>
            <w:szCs w:val="28"/>
            <w:u w:val="single"/>
            <w:shd w:fill="f5f5f5" w:val="clear"/>
            <w:rtl w:val="0"/>
          </w:rPr>
          <w:t xml:space="preserve">youtube</w:t>
        </w:r>
      </w:hyperlink>
      <w:r w:rsidDel="00000000" w:rsidR="00000000" w:rsidRPr="00000000">
        <w:rPr>
          <w:rFonts w:ascii="Calibri" w:cs="Calibri" w:eastAsia="Calibri" w:hAnsi="Calibri"/>
          <w:sz w:val="28"/>
          <w:szCs w:val="28"/>
          <w:shd w:fill="f5f5f5" w:val="clear"/>
          <w:rtl w:val="0"/>
        </w:rPr>
        <w:t xml:space="preserve">]​</w:t>
        <w:br w:type="textWrapping"/>
      </w:r>
    </w:p>
    <w:p w:rsidR="00000000" w:rsidDel="00000000" w:rsidP="00000000" w:rsidRDefault="00000000" w:rsidRPr="00000000" w14:paraId="000001EC">
      <w:pPr>
        <w:numPr>
          <w:ilvl w:val="0"/>
          <w:numId w:val="71"/>
        </w:numPr>
        <w:spacing w:after="0" w:afterAutospacing="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Self‑custody and wallet privacy.</w:t>
      </w:r>
      <w:r w:rsidDel="00000000" w:rsidR="00000000" w:rsidRPr="00000000">
        <w:rPr>
          <w:rFonts w:ascii="Calibri" w:cs="Calibri" w:eastAsia="Calibri" w:hAnsi="Calibri"/>
          <w:sz w:val="28"/>
          <w:szCs w:val="28"/>
          <w:shd w:fill="f5f5f5" w:val="clear"/>
          <w:rtl w:val="0"/>
        </w:rPr>
        <w:t xml:space="preserve"> Industry inputs push back on any conditions on self‑custody and on proposals that would effectively “doxx” customer wallet addresses, arguing that forced disclosure creates physical‑security and cyber‑risk and undermines core crypto properties.[</w:t>
      </w:r>
      <w:hyperlink r:id="rId65">
        <w:r w:rsidDel="00000000" w:rsidR="00000000" w:rsidRPr="00000000">
          <w:rPr>
            <w:rFonts w:ascii="Calibri" w:cs="Calibri" w:eastAsia="Calibri" w:hAnsi="Calibri"/>
            <w:color w:val="1155cc"/>
            <w:sz w:val="28"/>
            <w:szCs w:val="28"/>
            <w:u w:val="single"/>
            <w:shd w:fill="f5f5f5" w:val="clear"/>
            <w:rtl w:val="0"/>
          </w:rPr>
          <w:t xml:space="preserve">houstonlawreview</w:t>
        </w:r>
      </w:hyperlink>
      <w:r w:rsidDel="00000000" w:rsidR="00000000" w:rsidRPr="00000000">
        <w:rPr>
          <w:rFonts w:ascii="Calibri" w:cs="Calibri" w:eastAsia="Calibri" w:hAnsi="Calibri"/>
          <w:sz w:val="28"/>
          <w:szCs w:val="28"/>
          <w:shd w:fill="f5f5f5" w:val="clear"/>
          <w:rtl w:val="0"/>
        </w:rPr>
        <w:t xml:space="preserve">]​</w:t>
        <w:br w:type="textWrapping"/>
      </w:r>
    </w:p>
    <w:p w:rsidR="00000000" w:rsidDel="00000000" w:rsidP="00000000" w:rsidRDefault="00000000" w:rsidRPr="00000000" w14:paraId="000001ED">
      <w:pPr>
        <w:numPr>
          <w:ilvl w:val="0"/>
          <w:numId w:val="71"/>
        </w:numPr>
        <w:spacing w:after="0" w:afterAutospacing="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Recognition of network‑level functions.</w:t>
      </w:r>
      <w:r w:rsidDel="00000000" w:rsidR="00000000" w:rsidRPr="00000000">
        <w:rPr>
          <w:rFonts w:ascii="Calibri" w:cs="Calibri" w:eastAsia="Calibri" w:hAnsi="Calibri"/>
          <w:sz w:val="28"/>
          <w:szCs w:val="28"/>
          <w:shd w:fill="f5f5f5" w:val="clear"/>
          <w:rtl w:val="0"/>
        </w:rPr>
        <w:t xml:space="preserve"> Written submissions argue that staking, liquid staking, wrapping, and on‑chain swaps are protocol‑level functions rather than securities transactions, and that treating them as offerings would mischaracterize how these systems operate.[</w:t>
      </w:r>
      <w:hyperlink r:id="rId66">
        <w:r w:rsidDel="00000000" w:rsidR="00000000" w:rsidRPr="00000000">
          <w:rPr>
            <w:rFonts w:ascii="Calibri" w:cs="Calibri" w:eastAsia="Calibri" w:hAnsi="Calibri"/>
            <w:color w:val="1155cc"/>
            <w:sz w:val="28"/>
            <w:szCs w:val="28"/>
            <w:u w:val="single"/>
            <w:shd w:fill="f5f5f5" w:val="clear"/>
            <w:rtl w:val="0"/>
          </w:rPr>
          <w:t xml:space="preserve">houstonlawreview</w:t>
        </w:r>
      </w:hyperlink>
      <w:r w:rsidDel="00000000" w:rsidR="00000000" w:rsidRPr="00000000">
        <w:rPr>
          <w:rFonts w:ascii="Calibri" w:cs="Calibri" w:eastAsia="Calibri" w:hAnsi="Calibri"/>
          <w:sz w:val="28"/>
          <w:szCs w:val="28"/>
          <w:shd w:fill="f5f5f5" w:val="clear"/>
          <w:rtl w:val="0"/>
        </w:rPr>
        <w:t xml:space="preserve">]​</w:t>
        <w:br w:type="textWrapping"/>
      </w:r>
    </w:p>
    <w:p w:rsidR="00000000" w:rsidDel="00000000" w:rsidP="00000000" w:rsidRDefault="00000000" w:rsidRPr="00000000" w14:paraId="000001EE">
      <w:pPr>
        <w:numPr>
          <w:ilvl w:val="0"/>
          <w:numId w:val="71"/>
        </w:numPr>
        <w:spacing w:after="24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On‑chain data as a substitute for legacy reporting.</w:t>
      </w:r>
      <w:r w:rsidDel="00000000" w:rsidR="00000000" w:rsidRPr="00000000">
        <w:rPr>
          <w:rFonts w:ascii="Calibri" w:cs="Calibri" w:eastAsia="Calibri" w:hAnsi="Calibri"/>
          <w:sz w:val="28"/>
          <w:szCs w:val="28"/>
          <w:shd w:fill="f5f5f5" w:val="clear"/>
          <w:rtl w:val="0"/>
        </w:rPr>
        <w:t xml:space="preserve"> Industry‑aligned inputs advocate recognizing blockchain explorers and on‑chain analytics (e.g., The Graph, DeFi Llama) as meeting or exceeding traditional EDGAR‑style disclosure and broker recordkeeping obligations, pointing to immutable, real‑time data.[</w:t>
      </w:r>
      <w:hyperlink r:id="rId67">
        <w:r w:rsidDel="00000000" w:rsidR="00000000" w:rsidRPr="00000000">
          <w:rPr>
            <w:rFonts w:ascii="Calibri" w:cs="Calibri" w:eastAsia="Calibri" w:hAnsi="Calibri"/>
            <w:color w:val="1155cc"/>
            <w:sz w:val="28"/>
            <w:szCs w:val="28"/>
            <w:u w:val="single"/>
            <w:shd w:fill="f5f5f5" w:val="clear"/>
            <w:rtl w:val="0"/>
          </w:rPr>
          <w:t xml:space="preserve">houstonlawreview</w:t>
        </w:r>
      </w:hyperlink>
      <w:r w:rsidDel="00000000" w:rsidR="00000000" w:rsidRPr="00000000">
        <w:rPr>
          <w:rFonts w:ascii="Calibri" w:cs="Calibri" w:eastAsia="Calibri" w:hAnsi="Calibri"/>
          <w:sz w:val="28"/>
          <w:szCs w:val="28"/>
          <w:shd w:fill="f5f5f5" w:val="clear"/>
          <w:rtl w:val="0"/>
        </w:rPr>
        <w:t xml:space="preserve">]​</w:t>
        <w:br w:type="textWrapping"/>
      </w:r>
    </w:p>
    <w:p w:rsidR="00000000" w:rsidDel="00000000" w:rsidP="00000000" w:rsidRDefault="00000000" w:rsidRPr="00000000" w14:paraId="000001EF">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nssjldlupaq0" w:id="38"/>
      <w:bookmarkEnd w:id="38"/>
      <w:r w:rsidDel="00000000" w:rsidR="00000000" w:rsidRPr="00000000">
        <w:rPr>
          <w:rFonts w:ascii="Calibri" w:cs="Calibri" w:eastAsia="Calibri" w:hAnsi="Calibri"/>
          <w:b w:val="1"/>
          <w:bCs w:val="1"/>
          <w:sz w:val="34"/>
          <w:szCs w:val="34"/>
          <w:shd w:fill="f5f5f5" w:val="clear"/>
          <w:rtl w:val="0"/>
        </w:rPr>
        <w:t xml:space="preserve">Academic themes and concerns</w:t>
      </w:r>
    </w:p>
    <w:p w:rsidR="00000000" w:rsidDel="00000000" w:rsidP="00000000" w:rsidRDefault="00000000" w:rsidRPr="00000000" w14:paraId="000001F0">
      <w:pPr>
        <w:numPr>
          <w:ilvl w:val="0"/>
          <w:numId w:val="17"/>
        </w:numPr>
        <w:spacing w:after="0" w:afterAutospacing="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Clarity in legal tests and taxonomy.</w:t>
      </w:r>
      <w:r w:rsidDel="00000000" w:rsidR="00000000" w:rsidRPr="00000000">
        <w:rPr>
          <w:rFonts w:ascii="Calibri" w:cs="Calibri" w:eastAsia="Calibri" w:hAnsi="Calibri"/>
          <w:sz w:val="28"/>
          <w:szCs w:val="28"/>
          <w:shd w:fill="f5f5f5" w:val="clear"/>
          <w:rtl w:val="0"/>
        </w:rPr>
        <w:t xml:space="preserve"> Academic participants emphasize the need for a principled taxonomy that distinguishes (i) tokenized traditional stock (governed by Landreth), (ii) investment‑contract‑type tokens under Howey, and (iii) non‑security tokens supporting open‑source, community‑run networks.sec+2</w:t>
        <w:br w:type="textWrapping"/>
      </w:r>
    </w:p>
    <w:p w:rsidR="00000000" w:rsidDel="00000000" w:rsidP="00000000" w:rsidRDefault="00000000" w:rsidRPr="00000000" w14:paraId="000001F1">
      <w:pPr>
        <w:numPr>
          <w:ilvl w:val="0"/>
          <w:numId w:val="17"/>
        </w:numPr>
        <w:spacing w:after="0" w:afterAutospacing="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Separation of asset vs. transaction.</w:t>
      </w:r>
      <w:r w:rsidDel="00000000" w:rsidR="00000000" w:rsidRPr="00000000">
        <w:rPr>
          <w:rFonts w:ascii="Calibri" w:cs="Calibri" w:eastAsia="Calibri" w:hAnsi="Calibri"/>
          <w:sz w:val="28"/>
          <w:szCs w:val="28"/>
          <w:shd w:fill="f5f5f5" w:val="clear"/>
          <w:rtl w:val="0"/>
        </w:rPr>
        <w:t xml:space="preserve"> Academics argue that Howey should focus on the offer and sale, not on the token “as such,” and suggest exemptive frameworks that target specific transaction patterns while avoiding blanket labels on all tokens.[</w:t>
      </w:r>
      <w:hyperlink r:id="rId68">
        <w:r w:rsidDel="00000000" w:rsidR="00000000" w:rsidRPr="00000000">
          <w:rPr>
            <w:rFonts w:ascii="Calibri" w:cs="Calibri" w:eastAsia="Calibri" w:hAnsi="Calibri"/>
            <w:color w:val="1155cc"/>
            <w:sz w:val="28"/>
            <w:szCs w:val="28"/>
            <w:u w:val="single"/>
            <w:shd w:fill="f5f5f5" w:val="clear"/>
            <w:rtl w:val="0"/>
          </w:rPr>
          <w:t xml:space="preserve">houstonlawreview</w:t>
        </w:r>
      </w:hyperlink>
      <w:r w:rsidDel="00000000" w:rsidR="00000000" w:rsidRPr="00000000">
        <w:rPr>
          <w:rFonts w:ascii="Calibri" w:cs="Calibri" w:eastAsia="Calibri" w:hAnsi="Calibri"/>
          <w:sz w:val="28"/>
          <w:szCs w:val="28"/>
          <w:shd w:fill="f5f5f5" w:val="clear"/>
          <w:rtl w:val="0"/>
        </w:rPr>
        <w:t xml:space="preserve">]​</w:t>
        <w:br w:type="textWrapping"/>
      </w:r>
    </w:p>
    <w:p w:rsidR="00000000" w:rsidDel="00000000" w:rsidP="00000000" w:rsidRDefault="00000000" w:rsidRPr="00000000" w14:paraId="000001F2">
      <w:pPr>
        <w:numPr>
          <w:ilvl w:val="0"/>
          <w:numId w:val="17"/>
        </w:numPr>
        <w:spacing w:after="0" w:afterAutospacing="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Decentralization and open‑source governance.</w:t>
      </w:r>
      <w:r w:rsidDel="00000000" w:rsidR="00000000" w:rsidRPr="00000000">
        <w:rPr>
          <w:rFonts w:ascii="Calibri" w:cs="Calibri" w:eastAsia="Calibri" w:hAnsi="Calibri"/>
          <w:sz w:val="28"/>
          <w:szCs w:val="28"/>
          <w:shd w:fill="f5f5f5" w:val="clear"/>
          <w:rtl w:val="0"/>
        </w:rPr>
        <w:t xml:space="preserve"> Several academic inputs stress that tokens used to coordinate decentralized, open‑source ecosystems without a central corporate sponsor do not fit the classic issuer–shareholder model and should not be presumed securities.[</w:t>
      </w:r>
      <w:hyperlink r:id="rId69">
        <w:r w:rsidDel="00000000" w:rsidR="00000000" w:rsidRPr="00000000">
          <w:rPr>
            <w:rFonts w:ascii="Calibri" w:cs="Calibri" w:eastAsia="Calibri" w:hAnsi="Calibri"/>
            <w:color w:val="1155cc"/>
            <w:sz w:val="28"/>
            <w:szCs w:val="28"/>
            <w:u w:val="single"/>
            <w:shd w:fill="f5f5f5" w:val="clear"/>
            <w:rtl w:val="0"/>
          </w:rPr>
          <w:t xml:space="preserve">houstonlawreview</w:t>
        </w:r>
      </w:hyperlink>
      <w:r w:rsidDel="00000000" w:rsidR="00000000" w:rsidRPr="00000000">
        <w:rPr>
          <w:rFonts w:ascii="Calibri" w:cs="Calibri" w:eastAsia="Calibri" w:hAnsi="Calibri"/>
          <w:sz w:val="28"/>
          <w:szCs w:val="28"/>
          <w:shd w:fill="f5f5f5" w:val="clear"/>
          <w:rtl w:val="0"/>
        </w:rPr>
        <w:t xml:space="preserve">]​</w:t>
        <w:br w:type="textWrapping"/>
      </w:r>
    </w:p>
    <w:p w:rsidR="00000000" w:rsidDel="00000000" w:rsidP="00000000" w:rsidRDefault="00000000" w:rsidRPr="00000000" w14:paraId="000001F3">
      <w:pPr>
        <w:numPr>
          <w:ilvl w:val="0"/>
          <w:numId w:val="17"/>
        </w:numPr>
        <w:spacing w:after="24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Use of experimental regulatory tools.</w:t>
      </w:r>
      <w:r w:rsidDel="00000000" w:rsidR="00000000" w:rsidRPr="00000000">
        <w:rPr>
          <w:rFonts w:ascii="Calibri" w:cs="Calibri" w:eastAsia="Calibri" w:hAnsi="Calibri"/>
          <w:sz w:val="28"/>
          <w:szCs w:val="28"/>
          <w:shd w:fill="f5f5f5" w:val="clear"/>
          <w:rtl w:val="0"/>
        </w:rPr>
        <w:t xml:space="preserve"> Academics propose concept releases, structured exemptive rules (e.g., safe harbors for DAOs, DeFi, staking, NFTs), and SEC–CFTC MOUs grounded in “developer choice” to create parallel compliance paths rather than forcing all projects into one securities‑law bucket.sec+1</w:t>
        <w:br w:type="textWrapping"/>
      </w:r>
    </w:p>
    <w:p w:rsidR="00000000" w:rsidDel="00000000" w:rsidP="00000000" w:rsidRDefault="00000000" w:rsidRPr="00000000" w14:paraId="000001F4">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pqqmo2br1gtf" w:id="39"/>
      <w:bookmarkEnd w:id="39"/>
      <w:r w:rsidDel="00000000" w:rsidR="00000000" w:rsidRPr="00000000">
        <w:rPr>
          <w:rFonts w:ascii="Calibri" w:cs="Calibri" w:eastAsia="Calibri" w:hAnsi="Calibri"/>
          <w:b w:val="1"/>
          <w:bCs w:val="1"/>
          <w:sz w:val="34"/>
          <w:szCs w:val="34"/>
          <w:shd w:fill="f5f5f5" w:val="clear"/>
          <w:rtl w:val="0"/>
        </w:rPr>
        <w:t xml:space="preserve">Points of convergence</w:t>
      </w:r>
    </w:p>
    <w:p w:rsidR="00000000" w:rsidDel="00000000" w:rsidP="00000000" w:rsidRDefault="00000000" w:rsidRPr="00000000" w14:paraId="000001F5">
      <w:pPr>
        <w:numPr>
          <w:ilvl w:val="0"/>
          <w:numId w:val="4"/>
        </w:numPr>
        <w:spacing w:after="0" w:afterAutospacing="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Move away from regulation by enforcement.</w:t>
      </w:r>
      <w:r w:rsidDel="00000000" w:rsidR="00000000" w:rsidRPr="00000000">
        <w:rPr>
          <w:rFonts w:ascii="Calibri" w:cs="Calibri" w:eastAsia="Calibri" w:hAnsi="Calibri"/>
          <w:sz w:val="28"/>
          <w:szCs w:val="28"/>
          <w:shd w:fill="f5f5f5" w:val="clear"/>
          <w:rtl w:val="0"/>
        </w:rPr>
        <w:t xml:space="preserve"> Both industry and academic participants explicitly welcome the Task Force’s policy‑led mandate and argue that fundamental questions (classification, custody, DeFi treatment) should be resolved through rulemaking, interpretive guidance, and exemptive orders, not ad hoc settlements.sec+4</w:t>
        <w:br w:type="textWrapping"/>
      </w:r>
    </w:p>
    <w:p w:rsidR="00000000" w:rsidDel="00000000" w:rsidP="00000000" w:rsidRDefault="00000000" w:rsidRPr="00000000" w14:paraId="000001F6">
      <w:pPr>
        <w:numPr>
          <w:ilvl w:val="0"/>
          <w:numId w:val="4"/>
        </w:numPr>
        <w:spacing w:after="0" w:afterAutospacing="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Tailored, risk‑based oversight.</w:t>
      </w:r>
      <w:r w:rsidDel="00000000" w:rsidR="00000000" w:rsidRPr="00000000">
        <w:rPr>
          <w:rFonts w:ascii="Calibri" w:cs="Calibri" w:eastAsia="Calibri" w:hAnsi="Calibri"/>
          <w:sz w:val="28"/>
          <w:szCs w:val="28"/>
          <w:shd w:fill="f5f5f5" w:val="clear"/>
          <w:rtl w:val="0"/>
        </w:rPr>
        <w:t xml:space="preserve"> There is broad support for differentiating between tokenized traditional securities, capital‑raising tokens with ongoing managerial efforts, and more commodity‑ or utility‑like assets, with disclosure and prudential burdens scaled to those categories.sec+3</w:t>
        <w:br w:type="textWrapping"/>
      </w:r>
    </w:p>
    <w:p w:rsidR="00000000" w:rsidDel="00000000" w:rsidP="00000000" w:rsidRDefault="00000000" w:rsidRPr="00000000" w14:paraId="000001F7">
      <w:pPr>
        <w:numPr>
          <w:ilvl w:val="0"/>
          <w:numId w:val="4"/>
        </w:numPr>
        <w:spacing w:after="24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Modernizing infrastructure expectations.</w:t>
      </w:r>
      <w:r w:rsidDel="00000000" w:rsidR="00000000" w:rsidRPr="00000000">
        <w:rPr>
          <w:rFonts w:ascii="Calibri" w:cs="Calibri" w:eastAsia="Calibri" w:hAnsi="Calibri"/>
          <w:sz w:val="28"/>
          <w:szCs w:val="28"/>
          <w:shd w:fill="f5f5f5" w:val="clear"/>
          <w:rtl w:val="0"/>
        </w:rPr>
        <w:t xml:space="preserve"> Both camps support recognizing crypto‑native tools—proof‑of‑reserves, on‑chain records, Merkle‑root attestations—as potential components of future accounting, custody, and recordkeeping standards.[</w:t>
      </w:r>
      <w:hyperlink r:id="rId70">
        <w:r w:rsidDel="00000000" w:rsidR="00000000" w:rsidRPr="00000000">
          <w:rPr>
            <w:rFonts w:ascii="Calibri" w:cs="Calibri" w:eastAsia="Calibri" w:hAnsi="Calibri"/>
            <w:color w:val="1155cc"/>
            <w:sz w:val="28"/>
            <w:szCs w:val="28"/>
            <w:u w:val="single"/>
            <w:shd w:fill="f5f5f5" w:val="clear"/>
            <w:rtl w:val="0"/>
          </w:rPr>
          <w:t xml:space="preserve">houstonlawreview</w:t>
        </w:r>
      </w:hyperlink>
      <w:r w:rsidDel="00000000" w:rsidR="00000000" w:rsidRPr="00000000">
        <w:rPr>
          <w:rFonts w:ascii="Calibri" w:cs="Calibri" w:eastAsia="Calibri" w:hAnsi="Calibri"/>
          <w:sz w:val="28"/>
          <w:szCs w:val="28"/>
          <w:shd w:fill="f5f5f5" w:val="clear"/>
          <w:rtl w:val="0"/>
        </w:rPr>
        <w:t xml:space="preserve">]​</w:t>
        <w:br w:type="textWrapping"/>
      </w:r>
    </w:p>
    <w:p w:rsidR="00000000" w:rsidDel="00000000" w:rsidP="00000000" w:rsidRDefault="00000000" w:rsidRPr="00000000" w14:paraId="000001F8">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ep5n3zg405fl" w:id="40"/>
      <w:bookmarkEnd w:id="40"/>
      <w:r w:rsidDel="00000000" w:rsidR="00000000" w:rsidRPr="00000000">
        <w:rPr>
          <w:rFonts w:ascii="Calibri" w:cs="Calibri" w:eastAsia="Calibri" w:hAnsi="Calibri"/>
          <w:b w:val="1"/>
          <w:bCs w:val="1"/>
          <w:sz w:val="34"/>
          <w:szCs w:val="34"/>
          <w:shd w:fill="f5f5f5" w:val="clear"/>
          <w:rtl w:val="0"/>
        </w:rPr>
        <w:t xml:space="preserve">Points of tension</w:t>
      </w:r>
    </w:p>
    <w:p w:rsidR="00000000" w:rsidDel="00000000" w:rsidP="00000000" w:rsidRDefault="00000000" w:rsidRPr="00000000" w14:paraId="000001F9">
      <w:pPr>
        <w:numPr>
          <w:ilvl w:val="0"/>
          <w:numId w:val="25"/>
        </w:numPr>
        <w:spacing w:after="0" w:afterAutospacing="0" w:before="24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Scope of the securities perimeter.</w:t>
      </w:r>
      <w:r w:rsidDel="00000000" w:rsidR="00000000" w:rsidRPr="00000000">
        <w:rPr>
          <w:rFonts w:ascii="Calibri" w:cs="Calibri" w:eastAsia="Calibri" w:hAnsi="Calibri"/>
          <w:sz w:val="28"/>
          <w:szCs w:val="28"/>
          <w:shd w:fill="f5f5f5" w:val="clear"/>
          <w:rtl w:val="0"/>
        </w:rPr>
        <w:t xml:space="preserve"> Industry inputs favor broad carve‑outs (e.g., for DeFi, staking, NFTs, on‑chain “wrapping”) and emphasize innovation and user autonomy, while some academics are more cautious about exempting large parts of the market without robust investor‑protection substitutes.sec+2</w:t>
        <w:br w:type="textWrapping"/>
      </w:r>
    </w:p>
    <w:p w:rsidR="00000000" w:rsidDel="00000000" w:rsidP="00000000" w:rsidRDefault="00000000" w:rsidRPr="00000000" w14:paraId="000001FA">
      <w:pPr>
        <w:numPr>
          <w:ilvl w:val="0"/>
          <w:numId w:val="25"/>
        </w:numPr>
        <w:spacing w:after="240" w:before="0" w:beforeAutospacing="0" w:line="259" w:lineRule="auto"/>
        <w:ind w:left="720" w:hanging="360"/>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Regulatory competition vs. single‑regulator clarity.</w:t>
      </w:r>
      <w:r w:rsidDel="00000000" w:rsidR="00000000" w:rsidRPr="00000000">
        <w:rPr>
          <w:rFonts w:ascii="Calibri" w:cs="Calibri" w:eastAsia="Calibri" w:hAnsi="Calibri"/>
          <w:sz w:val="28"/>
          <w:szCs w:val="28"/>
          <w:shd w:fill="f5f5f5" w:val="clear"/>
          <w:rtl w:val="0"/>
        </w:rPr>
        <w:t xml:space="preserve"> Some academic and policy voices advocate an SEC–CFTC “choose‑your‑own‑adventure” model that lets developers select a path (securities vs. commodity spot) within agreed guardrails, whereas others worry that aggressive regulatory competition could recreate pre‑2008 gaps.[</w:t>
      </w:r>
      <w:hyperlink r:id="rId71">
        <w:r w:rsidDel="00000000" w:rsidR="00000000" w:rsidRPr="00000000">
          <w:rPr>
            <w:rFonts w:ascii="Calibri" w:cs="Calibri" w:eastAsia="Calibri" w:hAnsi="Calibri"/>
            <w:color w:val="1155cc"/>
            <w:sz w:val="28"/>
            <w:szCs w:val="28"/>
            <w:u w:val="single"/>
            <w:shd w:fill="f5f5f5" w:val="clear"/>
            <w:rtl w:val="0"/>
          </w:rPr>
          <w:t xml:space="preserve">houstonlawreview</w:t>
        </w:r>
      </w:hyperlink>
      <w:r w:rsidDel="00000000" w:rsidR="00000000" w:rsidRPr="00000000">
        <w:rPr>
          <w:rFonts w:ascii="Calibri" w:cs="Calibri" w:eastAsia="Calibri" w:hAnsi="Calibri"/>
          <w:sz w:val="28"/>
          <w:szCs w:val="28"/>
          <w:shd w:fill="f5f5f5" w:val="clear"/>
          <w:rtl w:val="0"/>
        </w:rPr>
        <w:t xml:space="preserve">]​</w:t>
        <w:br w:type="textWrapping"/>
      </w:r>
    </w:p>
    <w:p w:rsidR="00000000" w:rsidDel="00000000" w:rsidP="00000000" w:rsidRDefault="00000000" w:rsidRPr="00000000" w14:paraId="000001FB">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In short, industry voices in the Crypto Task Force record push for practicable compliance pathways, reduced frictions around custody and DeFi, and recognition of on‑chain transparency, while academics focus on coherent doctrine, principled taxonomies, and careful accommodation of decentralization—though both groups converge on moving crypto policy away from enforcement‑only strategies toward clear, technology‑aware rules.blockworks+5</w:t>
      </w:r>
    </w:p>
    <w:p w:rsidR="00000000" w:rsidDel="00000000" w:rsidP="00000000" w:rsidRDefault="00000000" w:rsidRPr="00000000" w14:paraId="000001FC">
      <w:pPr>
        <w:spacing w:after="240" w:before="240" w:line="259" w:lineRule="auto"/>
        <w:jc w:val="both"/>
        <w:rPr>
          <w:rFonts w:ascii="Calibri" w:cs="Calibri" w:eastAsia="Calibri" w:hAnsi="Calibri"/>
          <w:sz w:val="28"/>
          <w:szCs w:val="28"/>
          <w:shd w:fill="f5f5f5" w:val="clear"/>
        </w:rPr>
      </w:pPr>
      <w:r w:rsidDel="00000000" w:rsidR="00000000" w:rsidRPr="00000000">
        <w:rPr>
          <w:rtl w:val="0"/>
        </w:rPr>
      </w:r>
    </w:p>
    <w:p w:rsidR="00000000" w:rsidDel="00000000" w:rsidP="00000000" w:rsidRDefault="00000000" w:rsidRPr="00000000" w14:paraId="000001FD">
      <w:pPr>
        <w:spacing w:after="240" w:before="240" w:line="259" w:lineRule="auto"/>
        <w:jc w:val="both"/>
        <w:rPr>
          <w:rFonts w:ascii="Calibri" w:cs="Calibri" w:eastAsia="Calibri" w:hAnsi="Calibri"/>
          <w:sz w:val="28"/>
          <w:szCs w:val="28"/>
          <w:shd w:fill="f5f5f5" w:val="clear"/>
        </w:rPr>
      </w:pPr>
      <w:hyperlink r:id="rId72">
        <w:r w:rsidDel="00000000" w:rsidR="00000000" w:rsidRPr="00000000">
          <w:rPr>
            <w:rFonts w:ascii="Calibri" w:cs="Calibri" w:eastAsia="Calibri" w:hAnsi="Calibri"/>
            <w:color w:val="1155cc"/>
            <w:sz w:val="28"/>
            <w:szCs w:val="28"/>
            <w:u w:val="single"/>
            <w:shd w:fill="f5f5f5" w:val="clear"/>
            <w:rtl w:val="0"/>
          </w:rPr>
          <w:t xml:space="preserve">Claude.Ai</w:t>
        </w:r>
      </w:hyperlink>
      <w:r w:rsidDel="00000000" w:rsidR="00000000" w:rsidRPr="00000000">
        <w:rPr>
          <w:rtl w:val="0"/>
        </w:rPr>
      </w:r>
    </w:p>
    <w:p w:rsidR="00000000" w:rsidDel="00000000" w:rsidP="00000000" w:rsidRDefault="00000000" w:rsidRPr="00000000" w14:paraId="000001FE">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Let me search across your prior work on this before pulling in additional analysis.Good — now I have the full picture across your prior roundtable analysis work from six sessions plus the written inputs corpus. Let me synthesize this properly.</w:t>
      </w:r>
    </w:p>
    <w:p w:rsidR="00000000" w:rsidDel="00000000" w:rsidP="00000000" w:rsidRDefault="00000000" w:rsidRPr="00000000" w14:paraId="000001FF">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259" w:lineRule="auto"/>
        <w:jc w:val="both"/>
        <w:rPr>
          <w:rFonts w:ascii="Calibri" w:cs="Calibri" w:eastAsia="Calibri" w:hAnsi="Calibri"/>
          <w:b w:val="1"/>
          <w:bCs w:val="1"/>
          <w:sz w:val="34"/>
          <w:szCs w:val="34"/>
          <w:shd w:fill="f5f5f5" w:val="clear"/>
        </w:rPr>
      </w:pPr>
      <w:bookmarkStart w:colFirst="0" w:colLast="0" w:name="_kb7fnbjwl5gk" w:id="41"/>
      <w:bookmarkEnd w:id="41"/>
      <w:r w:rsidDel="00000000" w:rsidR="00000000" w:rsidRPr="00000000">
        <w:rPr>
          <w:rFonts w:ascii="Calibri" w:cs="Calibri" w:eastAsia="Calibri" w:hAnsi="Calibri"/>
          <w:b w:val="1"/>
          <w:bCs w:val="1"/>
          <w:sz w:val="34"/>
          <w:szCs w:val="34"/>
          <w:shd w:fill="f5f5f5" w:val="clear"/>
          <w:rtl w:val="0"/>
        </w:rPr>
        <w:t xml:space="preserve">Recurring Themes Across Task Force Written Inputs and Roundtable Transcripts</w:t>
      </w:r>
    </w:p>
    <w:p w:rsidR="00000000" w:rsidDel="00000000" w:rsidP="00000000" w:rsidRDefault="00000000" w:rsidRPr="00000000" w14:paraId="00000201">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smdhx99l39lo" w:id="42"/>
      <w:bookmarkEnd w:id="42"/>
      <w:r w:rsidDel="00000000" w:rsidR="00000000" w:rsidRPr="00000000">
        <w:rPr>
          <w:rFonts w:ascii="Calibri" w:cs="Calibri" w:eastAsia="Calibri" w:hAnsi="Calibri"/>
          <w:b w:val="1"/>
          <w:bCs w:val="1"/>
          <w:color w:val="000000"/>
          <w:sz w:val="26"/>
          <w:szCs w:val="26"/>
          <w:shd w:fill="f5f5f5" w:val="clear"/>
          <w:rtl w:val="0"/>
        </w:rPr>
        <w:t xml:space="preserve">The Structural Asymmetry: Why the Pattern Matters First</w:t>
      </w:r>
    </w:p>
    <w:p w:rsidR="00000000" w:rsidDel="00000000" w:rsidP="00000000" w:rsidRDefault="00000000" w:rsidRPr="00000000" w14:paraId="00000202">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Before the themes, the composition data your database established frames everything: industry/pro-crypto participants represent 46% of all roundtable participants, academic/balanced perspectives only 9%, and crypto-skeptics just 7%. The SEC itself acknowledges the written inputs are "posted without modification" and "do not necessarily reflect the views of the Crypto Task Force." This means the thematic record is heavily skewed toward industry framing — the academic voice is thin relative to its actual analytical weight in the debates.</w:t>
      </w:r>
    </w:p>
    <w:p w:rsidR="00000000" w:rsidDel="00000000" w:rsidP="00000000" w:rsidRDefault="00000000" w:rsidRPr="00000000" w14:paraId="00000203">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With that lens, six recurring themes emerge across both written inputs and transcripts, with distinct industry vs. academic signatures on each.</w:t>
      </w:r>
    </w:p>
    <w:p w:rsidR="00000000" w:rsidDel="00000000" w:rsidP="00000000" w:rsidRDefault="00000000" w:rsidRPr="00000000" w14:paraId="00000204">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71zgyfqctx1x" w:id="43"/>
      <w:bookmarkEnd w:id="43"/>
      <w:r w:rsidDel="00000000" w:rsidR="00000000" w:rsidRPr="00000000">
        <w:rPr>
          <w:rFonts w:ascii="Calibri" w:cs="Calibri" w:eastAsia="Calibri" w:hAnsi="Calibri"/>
          <w:b w:val="1"/>
          <w:bCs w:val="1"/>
          <w:color w:val="000000"/>
          <w:sz w:val="26"/>
          <w:szCs w:val="26"/>
          <w:shd w:fill="f5f5f5" w:val="clear"/>
          <w:rtl w:val="0"/>
        </w:rPr>
        <w:t xml:space="preserve">Theme 1: Regulatory Clarity as Precondition for Compliance</w:t>
      </w:r>
    </w:p>
    <w:p w:rsidR="00000000" w:rsidDel="00000000" w:rsidP="00000000" w:rsidRDefault="00000000" w:rsidRPr="00000000" w14:paraId="00000206">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dominant industry claim across every roundtable and nearly all written inputs.</w:t>
      </w:r>
      <w:r w:rsidDel="00000000" w:rsidR="00000000" w:rsidRPr="00000000">
        <w:rPr>
          <w:rFonts w:ascii="Calibri" w:cs="Calibri" w:eastAsia="Calibri" w:hAnsi="Calibri"/>
          <w:sz w:val="28"/>
          <w:szCs w:val="28"/>
          <w:shd w:fill="f5f5f5" w:val="clear"/>
          <w:rtl w:val="0"/>
        </w:rPr>
        <w:t xml:space="preserve"> The argument runs as follows: the lack of clear rules — not bad faith — explains crypto's compliance failures. Industry participants use this to reframe the enforcement record as a regulatory design problem rather than a market conduct problem.</w:t>
      </w:r>
    </w:p>
    <w:p w:rsidR="00000000" w:rsidDel="00000000" w:rsidP="00000000" w:rsidRDefault="00000000" w:rsidRPr="00000000" w14:paraId="00000207">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In the roundtable record, this is Brennan's "years of trying to find a compliance path including S-1 attempts that were blocked," Jennings' "anarcho-tyranny," and Seira's comparison of the SEC to someone "pointing at industry and saying walk through this wall." In the written inputs corpus, submissions from notable market participants requested discussion of practical issues including special purpose broker-dealers for crypto, staking, crypto listing criteria, and tokenization — all framed as clarity gaps rather than compliance failures.</w:t>
      </w:r>
    </w:p>
    <w:p w:rsidR="00000000" w:rsidDel="00000000" w:rsidP="00000000" w:rsidRDefault="00000000" w:rsidRPr="00000000" w14:paraId="00000208">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academic counterpoint is more precise.</w:t>
      </w:r>
      <w:r w:rsidDel="00000000" w:rsidR="00000000" w:rsidRPr="00000000">
        <w:rPr>
          <w:rFonts w:ascii="Calibri" w:cs="Calibri" w:eastAsia="Calibri" w:hAnsi="Calibri"/>
          <w:sz w:val="28"/>
          <w:szCs w:val="28"/>
          <w:shd w:fill="f5f5f5" w:val="clear"/>
          <w:rtl w:val="0"/>
        </w:rPr>
        <w:t xml:space="preserve"> Brummer's "regulatory debt" concept — accumulated outdated frameworks that create practical impossibilities — accepts the clarity critique but rejects the implied solution. His argument is that you cannot simply declare new rules without first auditing what existing rules require, what they conflict with, and what interpretive work has already been done. The distinction matters for CRI: industry wants fast guidance; academics want durable guidance that survives judicial challenge and agency turnover.</w:t>
      </w:r>
    </w:p>
    <w:p w:rsidR="00000000" w:rsidDel="00000000" w:rsidP="00000000" w:rsidRDefault="00000000" w:rsidRPr="00000000" w14:paraId="00000209">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fiafv2pus4dz" w:id="44"/>
      <w:bookmarkEnd w:id="44"/>
      <w:r w:rsidDel="00000000" w:rsidR="00000000" w:rsidRPr="00000000">
        <w:rPr>
          <w:rFonts w:ascii="Calibri" w:cs="Calibri" w:eastAsia="Calibri" w:hAnsi="Calibri"/>
          <w:b w:val="1"/>
          <w:bCs w:val="1"/>
          <w:color w:val="000000"/>
          <w:sz w:val="26"/>
          <w:szCs w:val="26"/>
          <w:shd w:fill="f5f5f5" w:val="clear"/>
          <w:rtl w:val="0"/>
        </w:rPr>
        <w:t xml:space="preserve">Theme 2: Control and Decentralization as the Governing Principle</w:t>
      </w:r>
    </w:p>
    <w:p w:rsidR="00000000" w:rsidDel="00000000" w:rsidP="00000000" w:rsidRDefault="00000000" w:rsidRPr="00000000" w14:paraId="0000020B">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most analytically sophisticated theme — and the one where written inputs add the most beyond the roundtable record.</w:t>
      </w:r>
      <w:r w:rsidDel="00000000" w:rsidR="00000000" w:rsidRPr="00000000">
        <w:rPr>
          <w:rFonts w:ascii="Calibri" w:cs="Calibri" w:eastAsia="Calibri" w:hAnsi="Calibri"/>
          <w:sz w:val="28"/>
          <w:szCs w:val="28"/>
          <w:shd w:fill="f5f5f5" w:val="clear"/>
          <w:rtl w:val="0"/>
        </w:rPr>
        <w:t xml:space="preserve"> Industry participants and academic participants converge on control/decentralization as a threshold variable, but they disagree sharply on what the threshold is and how to verify it.</w:t>
      </w:r>
    </w:p>
    <w:p w:rsidR="00000000" w:rsidDel="00000000" w:rsidP="00000000" w:rsidRDefault="00000000" w:rsidRPr="00000000" w14:paraId="0000020C">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In the roundtables, Jennings proposed control as a "unifying principle across regulatory regimes," arguing that autonomous smart contracts eliminate trust dependencies that securities law addresses. Seira identified the Clayton-era Ethereum statement as the existing doctrinal foothold. Goody Guillen extended the argument to blockchain's capacity for "ownership without any control."</w:t>
      </w:r>
    </w:p>
    <w:p w:rsidR="00000000" w:rsidDel="00000000" w:rsidP="00000000" w:rsidRDefault="00000000" w:rsidRPr="00000000" w14:paraId="0000020D">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In the written inputs, submissions addressed how compliance innovations like embedding freezing functionality within permissionless tokenized securities could mitigate risks of theft or loss, with exemptions or rulemaking encouraging robust cybersecurity best practices for self-custody and DeFi protocols. This is the industry operationalizing the decentralization argument: if you can demonstrate technical compliance mechanisms within a decentralized architecture, the regulatory justification for centralized intermediaries weakens.</w:t>
      </w:r>
    </w:p>
    <w:p w:rsidR="00000000" w:rsidDel="00000000" w:rsidP="00000000" w:rsidRDefault="00000000" w:rsidRPr="00000000" w14:paraId="0000020E">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academic divergence here is significant.</w:t>
      </w:r>
      <w:r w:rsidDel="00000000" w:rsidR="00000000" w:rsidRPr="00000000">
        <w:rPr>
          <w:rFonts w:ascii="Calibri" w:cs="Calibri" w:eastAsia="Calibri" w:hAnsi="Calibri"/>
          <w:sz w:val="28"/>
          <w:szCs w:val="28"/>
          <w:shd w:fill="f5f5f5" w:val="clear"/>
          <w:rtl w:val="0"/>
        </w:rPr>
        <w:t xml:space="preserve"> Levitin (Georgetown, Investment Adviser Custody roundtable) and Werbach (Wharton, DeFi roundtable) both accept the control framework but introduce friction: how do you verify decentralization claims? Who audits the smart contract? What happens when a nominally decentralized protocol has a foundation with upgrade keys? The written inputs from skeptical groups like Better Markets push this further — investor advocates including Better Markets approached the Task Force to consider fraud prevention — implicitly arguing that decentralization claims are frequently pretextual.</w:t>
      </w:r>
    </w:p>
    <w:p w:rsidR="00000000" w:rsidDel="00000000" w:rsidP="00000000" w:rsidRDefault="00000000" w:rsidRPr="00000000" w14:paraId="0000020F">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kt4j1qor5kg1" w:id="45"/>
      <w:bookmarkEnd w:id="45"/>
      <w:r w:rsidDel="00000000" w:rsidR="00000000" w:rsidRPr="00000000">
        <w:rPr>
          <w:rFonts w:ascii="Calibri" w:cs="Calibri" w:eastAsia="Calibri" w:hAnsi="Calibri"/>
          <w:b w:val="1"/>
          <w:bCs w:val="1"/>
          <w:color w:val="000000"/>
          <w:sz w:val="26"/>
          <w:szCs w:val="26"/>
          <w:shd w:fill="f5f5f5" w:val="clear"/>
          <w:rtl w:val="0"/>
        </w:rPr>
        <w:t xml:space="preserve">Theme 3: Custody Architecture and the Qualified Custodian Problem</w:t>
      </w:r>
    </w:p>
    <w:p w:rsidR="00000000" w:rsidDel="00000000" w:rsidP="00000000" w:rsidRDefault="00000000" w:rsidRPr="00000000" w14:paraId="00000211">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most technically detailed and CRI-relevant theme across all six roundtables.</w:t>
      </w:r>
      <w:r w:rsidDel="00000000" w:rsidR="00000000" w:rsidRPr="00000000">
        <w:rPr>
          <w:rFonts w:ascii="Calibri" w:cs="Calibri" w:eastAsia="Calibri" w:hAnsi="Calibri"/>
          <w:sz w:val="28"/>
          <w:szCs w:val="28"/>
          <w:shd w:fill="f5f5f5" w:val="clear"/>
          <w:rtl w:val="0"/>
        </w:rPr>
        <w:t xml:space="preserve"> Every session touched custody from a different angle, and the written inputs on this topic are the most substantive in the corpus.</w:t>
      </w:r>
    </w:p>
    <w:p w:rsidR="00000000" w:rsidDel="00000000" w:rsidP="00000000" w:rsidRDefault="00000000" w:rsidRPr="00000000" w14:paraId="00000212">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core tension: existing qualified custodian requirements under Rule 206(4)-2 were written for fungible, easily segregable securities held at DTC. They map poorly onto crypto's unique risk profile — private key management, blockchain finality, staking lockups, and smart contract risks don't have 1930s-Act equivalents.</w:t>
      </w:r>
    </w:p>
    <w:p w:rsidR="00000000" w:rsidDel="00000000" w:rsidP="00000000" w:rsidRDefault="00000000" w:rsidRPr="00000000" w14:paraId="00000213">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Industry participants across the custody roundtables pushed three specific reforms: (1) explicit SEC recognition of crypto-native custodians (Anchorage, BitGo, Fireblocks model), (2) guidance allowing broker-dealers to hold both security and non-security crypto assets, and (3) elimination of SAB 121's balance sheet treatment requirement (already accomplished via SAB 122). Written inputs argued that tokenization allows investors to custody securities in their own wallets without paying third-party custodians, and that self-custody plays a vital role in the crypto ecosystem by providing access to DeFi and enabling peer-to-peer transfers and direct redemptions.</w:t>
      </w:r>
    </w:p>
    <w:p w:rsidR="00000000" w:rsidDel="00000000" w:rsidP="00000000" w:rsidRDefault="00000000" w:rsidRPr="00000000" w14:paraId="00000214">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traditional finance participants (Fidelity, WisdomTree, Franklin Templeton) — a distinct voice largely absent from roundtable transcripts but present in written inputs — pushed a different version: they want existing broker-dealer custody frameworks extended to digital assets rather than replaced. Chair Atkins clarified that broker-dealers are not and were never restricted from acting as custodian for non-security crypto assets or crypto asset securities, but that Commission action may be needed to clarify the application of customer protection and net capital rules to this activity.</w:t>
      </w:r>
    </w:p>
    <w:p w:rsidR="00000000" w:rsidDel="00000000" w:rsidP="00000000" w:rsidRDefault="00000000" w:rsidRPr="00000000" w14:paraId="00000215">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academic contribution on custody is Levitin's three-risk-framework</w:t>
      </w:r>
      <w:r w:rsidDel="00000000" w:rsidR="00000000" w:rsidRPr="00000000">
        <w:rPr>
          <w:rFonts w:ascii="Calibri" w:cs="Calibri" w:eastAsia="Calibri" w:hAnsi="Calibri"/>
          <w:sz w:val="28"/>
          <w:szCs w:val="28"/>
          <w:shd w:fill="f5f5f5" w:val="clear"/>
          <w:rtl w:val="0"/>
        </w:rPr>
        <w:t xml:space="preserve"> — operational risk, legal risk, and regulatory risk — which your custody knowledge base already captures as one of the ten foundational themes. What the written inputs add is specificity on which of those three risk categories is most tractable through guidance vs. rulemaking. Operational risk can be addressed through guidance; legal risk (UCC Article 8/12 interaction) requires either state-level UCC amendments or SEC exemptive relief; regulatory risk requires formal rulemaking.</w:t>
      </w:r>
    </w:p>
    <w:p w:rsidR="00000000" w:rsidDel="00000000" w:rsidP="00000000" w:rsidRDefault="00000000" w:rsidRPr="00000000" w14:paraId="00000216">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ar4fnoqm5lpa" w:id="46"/>
      <w:bookmarkEnd w:id="46"/>
      <w:r w:rsidDel="00000000" w:rsidR="00000000" w:rsidRPr="00000000">
        <w:rPr>
          <w:rFonts w:ascii="Calibri" w:cs="Calibri" w:eastAsia="Calibri" w:hAnsi="Calibri"/>
          <w:b w:val="1"/>
          <w:bCs w:val="1"/>
          <w:color w:val="000000"/>
          <w:sz w:val="26"/>
          <w:szCs w:val="26"/>
          <w:shd w:fill="f5f5f5" w:val="clear"/>
          <w:rtl w:val="0"/>
        </w:rPr>
        <w:t xml:space="preserve">Theme 4: Tokenization — Upgrade vs. Displacement</w:t>
      </w:r>
    </w:p>
    <w:p w:rsidR="00000000" w:rsidDel="00000000" w:rsidP="00000000" w:rsidRDefault="00000000" w:rsidRPr="00000000" w14:paraId="00000218">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tokenization roundtable and associated written inputs reveal the sharpest TradFi vs. crypto-native split.</w:t>
      </w:r>
      <w:r w:rsidDel="00000000" w:rsidR="00000000" w:rsidRPr="00000000">
        <w:rPr>
          <w:rFonts w:ascii="Calibri" w:cs="Calibri" w:eastAsia="Calibri" w:hAnsi="Calibri"/>
          <w:sz w:val="28"/>
          <w:szCs w:val="28"/>
          <w:shd w:fill="f5f5f5" w:val="clear"/>
          <w:rtl w:val="0"/>
        </w:rPr>
        <w:t xml:space="preserve"> This theme doesn't map cleanly onto industry vs. academic; it cuts across those categories.</w:t>
      </w:r>
    </w:p>
    <w:p w:rsidR="00000000" w:rsidDel="00000000" w:rsidP="00000000" w:rsidRDefault="00000000" w:rsidRPr="00000000" w14:paraId="00000219">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Traditional finance participants (BlackRock, Franklin Templeton, Fidelity, Invesco, Apollo) consistently frame tokenization as an upgrade to existing market infrastructure — faster settlement, programmable compliance, broader distribution. Their written inputs are technically detailed and operationally focused. SIFMA's submission constructed a comprehensive regulatory mapping chart examining the applicability of Securities Act and Exchange Act provisions to tokenized equity securities, considering whether policy considerations motivating those provisions are implicated in the tokenization context.</w:t>
      </w:r>
    </w:p>
    <w:p w:rsidR="00000000" w:rsidDel="00000000" w:rsidP="00000000" w:rsidRDefault="00000000" w:rsidRPr="00000000" w14:paraId="0000021A">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Crypto-native participants frame tokenization differently — as displacement of centralized intermediaries (DTCC, transfer agents, custodians). Submissions argued that self-custody plays a vital role and noted that smart contracts can programmatically enforce transfer restrictions, removing the need for some traditional roles played by transfer agents, custodians, or central securities repositories.</w:t>
      </w:r>
    </w:p>
    <w:p w:rsidR="00000000" w:rsidDel="00000000" w:rsidP="00000000" w:rsidRDefault="00000000" w:rsidRPr="00000000" w14:paraId="0000021B">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academic contribution at the tokenization roundtable was notably sparse</w:t>
      </w:r>
      <w:r w:rsidDel="00000000" w:rsidR="00000000" w:rsidRPr="00000000">
        <w:rPr>
          <w:rFonts w:ascii="Calibri" w:cs="Calibri" w:eastAsia="Calibri" w:hAnsi="Calibri"/>
          <w:sz w:val="28"/>
          <w:szCs w:val="28"/>
          <w:shd w:fill="f5f5f5" w:val="clear"/>
          <w:rtl w:val="0"/>
        </w:rPr>
        <w:t xml:space="preserve"> — only Omid Malekan (Columbia Business School) represented the academic/balanced perspective. His framing — comparing tokenization to the music industry's shift from vinyl to digital — is analytically suggestive but underdeveloped relative to the technical submissions. This is a genuine gap in the written inputs corpus: academic analysis of tokenization's systemic implications for market microstructure, settlement finality, and financial stability is largely absent from the Task Force record.</w:t>
      </w:r>
    </w:p>
    <w:p w:rsidR="00000000" w:rsidDel="00000000" w:rsidP="00000000" w:rsidRDefault="00000000" w:rsidRPr="00000000" w14:paraId="0000021C">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SIFMA raised concerns about cross-border regulatory visibility — specifically how blockchain-based models may allow US securities to trade on foreign platforms in ways that bypass existing offer-and-sale restrictions, complicate issuer obligations, and reduce regulatory visibility into settlement, custody, and market-abuse risks. This is the traditional finance version of the systemic risk argument that crypto skeptics make in the roundtables — different messenger, same structural concern.</w:t>
      </w:r>
    </w:p>
    <w:p w:rsidR="00000000" w:rsidDel="00000000" w:rsidP="00000000" w:rsidRDefault="00000000" w:rsidRPr="00000000" w14:paraId="0000021D">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ihp6c94qe6o6" w:id="47"/>
      <w:bookmarkEnd w:id="47"/>
      <w:r w:rsidDel="00000000" w:rsidR="00000000" w:rsidRPr="00000000">
        <w:rPr>
          <w:rFonts w:ascii="Calibri" w:cs="Calibri" w:eastAsia="Calibri" w:hAnsi="Calibri"/>
          <w:b w:val="1"/>
          <w:bCs w:val="1"/>
          <w:color w:val="000000"/>
          <w:sz w:val="26"/>
          <w:szCs w:val="26"/>
          <w:shd w:fill="f5f5f5" w:val="clear"/>
          <w:rtl w:val="0"/>
        </w:rPr>
        <w:t xml:space="preserve">Theme 5: DeFi's Intermediary Problem</w:t>
      </w:r>
    </w:p>
    <w:p w:rsidR="00000000" w:rsidDel="00000000" w:rsidP="00000000" w:rsidRDefault="00000000" w:rsidRPr="00000000" w14:paraId="0000021F">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DeFi roundtable produced the most philosophically distinct discourse in the entire series</w:t>
      </w:r>
      <w:r w:rsidDel="00000000" w:rsidR="00000000" w:rsidRPr="00000000">
        <w:rPr>
          <w:rFonts w:ascii="Calibri" w:cs="Calibri" w:eastAsia="Calibri" w:hAnsi="Calibri"/>
          <w:sz w:val="28"/>
          <w:szCs w:val="28"/>
          <w:shd w:fill="f5f5f5" w:val="clear"/>
          <w:rtl w:val="0"/>
        </w:rPr>
        <w:t xml:space="preserve">, and the written inputs on DeFi are the most ideologically charged. This is where the industry/academic divide is sharpest.</w:t>
      </w:r>
    </w:p>
    <w:p w:rsidR="00000000" w:rsidDel="00000000" w:rsidP="00000000" w:rsidRDefault="00000000" w:rsidRPr="00000000" w14:paraId="00000220">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Industry and crypto-native participants (Voorhees, Van Valkenburgh, Rettig, Shapiro, Gunter) argued that DeFi protocols operating through smart contracts are categorically different from regulated intermediaries because they lack the discretionary control that triggers regulatory obligations. The roundtable record shows this argument made with genuine sophistication — Mosier's former FinCEN perspective adding credibility that pure industry advocates lack.</w:t>
      </w:r>
    </w:p>
    <w:p w:rsidR="00000000" w:rsidDel="00000000" w:rsidP="00000000" w:rsidRDefault="00000000" w:rsidRPr="00000000" w14:paraId="00000221">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academic participants at the DeFi roundtable — Werbach and Malekan — accepted the technological premise but questioned the regulatory conclusion. Werbach's key contribution: the question isn't whether DeFi protocols are "intermediaries" in the traditional sense, but whether the </w:t>
      </w:r>
      <w:r w:rsidDel="00000000" w:rsidR="00000000" w:rsidRPr="00000000">
        <w:rPr>
          <w:rFonts w:ascii="Calibri" w:cs="Calibri" w:eastAsia="Calibri" w:hAnsi="Calibri"/>
          <w:i w:val="1"/>
          <w:iCs w:val="1"/>
          <w:sz w:val="28"/>
          <w:szCs w:val="28"/>
          <w:shd w:fill="f5f5f5" w:val="clear"/>
          <w:rtl w:val="0"/>
        </w:rPr>
        <w:t xml:space="preserve">functions</w:t>
      </w:r>
      <w:r w:rsidDel="00000000" w:rsidR="00000000" w:rsidRPr="00000000">
        <w:rPr>
          <w:rFonts w:ascii="Calibri" w:cs="Calibri" w:eastAsia="Calibri" w:hAnsi="Calibri"/>
          <w:sz w:val="28"/>
          <w:szCs w:val="28"/>
          <w:shd w:fill="f5f5f5" w:val="clear"/>
          <w:rtl w:val="0"/>
        </w:rPr>
        <w:t xml:space="preserve"> they perform — price discovery, execution, settlement — create the investor protection obligations that attach to those functions regardless of the legal form of the entity performing them.</w:t>
      </w:r>
    </w:p>
    <w:p w:rsidR="00000000" w:rsidDel="00000000" w:rsidP="00000000" w:rsidRDefault="00000000" w:rsidRPr="00000000" w14:paraId="00000222">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SIFMA's written input flagged that de-facto intermediary functions are performed in many if not most DeFi markets — including front-end interfaces, order-routing tools, liquidity providers, validators, sequencers, developers, and affiliated foundations — any of which may be acting as a broker, dealer, or exchange under the Exchange Act. This is a traditional finance actor making an essentially academic argument: the functional equivalents of regulated intermediaries exist in DeFi even if the legal wrappers don't.</w:t>
      </w:r>
    </w:p>
    <w:p w:rsidR="00000000" w:rsidDel="00000000" w:rsidP="00000000" w:rsidRDefault="00000000" w:rsidRPr="00000000" w14:paraId="00000223">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xhinp44jhygg" w:id="48"/>
      <w:bookmarkEnd w:id="48"/>
      <w:r w:rsidDel="00000000" w:rsidR="00000000" w:rsidRPr="00000000">
        <w:rPr>
          <w:rFonts w:ascii="Calibri" w:cs="Calibri" w:eastAsia="Calibri" w:hAnsi="Calibri"/>
          <w:b w:val="1"/>
          <w:bCs w:val="1"/>
          <w:color w:val="000000"/>
          <w:sz w:val="26"/>
          <w:szCs w:val="26"/>
          <w:shd w:fill="f5f5f5" w:val="clear"/>
          <w:rtl w:val="0"/>
        </w:rPr>
        <w:t xml:space="preserve">Theme 6: Investor Protection — Present Across All Forums but Structurally Underrepresented</w:t>
      </w:r>
    </w:p>
    <w:p w:rsidR="00000000" w:rsidDel="00000000" w:rsidP="00000000" w:rsidRDefault="00000000" w:rsidRPr="00000000" w14:paraId="00000225">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most consistent gap between the written inputs/roundtable record and what a balanced policy process would require.</w:t>
      </w:r>
      <w:r w:rsidDel="00000000" w:rsidR="00000000" w:rsidRPr="00000000">
        <w:rPr>
          <w:rFonts w:ascii="Calibri" w:cs="Calibri" w:eastAsia="Calibri" w:hAnsi="Calibri"/>
          <w:sz w:val="28"/>
          <w:szCs w:val="28"/>
          <w:shd w:fill="f5f5f5" w:val="clear"/>
          <w:rtl w:val="0"/>
        </w:rPr>
        <w:t xml:space="preserve"> Retail investor protection — the SEC's core statutory mandate — is argued almost exclusively by the crypto-skeptic participants (Schiffrin/Better Markets, Reiners, Stark) who represent 7% of roundtable participants and a fraction of written inputs.</w:t>
      </w:r>
    </w:p>
    <w:p w:rsidR="00000000" w:rsidDel="00000000" w:rsidP="00000000" w:rsidRDefault="00000000" w:rsidRPr="00000000" w14:paraId="00000226">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Task Force's stated mandate includes ensuring that investors have the information necessary to make investment decisions and that enforcement resources are deployed judiciously. But the roundtable record shows this mandate is addressed primarily through the frame of </w:t>
      </w:r>
      <w:r w:rsidDel="00000000" w:rsidR="00000000" w:rsidRPr="00000000">
        <w:rPr>
          <w:rFonts w:ascii="Calibri" w:cs="Calibri" w:eastAsia="Calibri" w:hAnsi="Calibri"/>
          <w:i w:val="1"/>
          <w:iCs w:val="1"/>
          <w:sz w:val="28"/>
          <w:szCs w:val="28"/>
          <w:shd w:fill="f5f5f5" w:val="clear"/>
          <w:rtl w:val="0"/>
        </w:rPr>
        <w:t xml:space="preserve">disclosure</w:t>
      </w:r>
      <w:r w:rsidDel="00000000" w:rsidR="00000000" w:rsidRPr="00000000">
        <w:rPr>
          <w:rFonts w:ascii="Calibri" w:cs="Calibri" w:eastAsia="Calibri" w:hAnsi="Calibri"/>
          <w:sz w:val="28"/>
          <w:szCs w:val="28"/>
          <w:shd w:fill="f5f5f5" w:val="clear"/>
          <w:rtl w:val="0"/>
        </w:rPr>
        <w:t xml:space="preserve"> (what information should be required) rather than </w:t>
      </w:r>
      <w:r w:rsidDel="00000000" w:rsidR="00000000" w:rsidRPr="00000000">
        <w:rPr>
          <w:rFonts w:ascii="Calibri" w:cs="Calibri" w:eastAsia="Calibri" w:hAnsi="Calibri"/>
          <w:i w:val="1"/>
          <w:iCs w:val="1"/>
          <w:sz w:val="28"/>
          <w:szCs w:val="28"/>
          <w:shd w:fill="f5f5f5" w:val="clear"/>
          <w:rtl w:val="0"/>
        </w:rPr>
        <w:t xml:space="preserve">protection</w:t>
      </w:r>
      <w:r w:rsidDel="00000000" w:rsidR="00000000" w:rsidRPr="00000000">
        <w:rPr>
          <w:rFonts w:ascii="Calibri" w:cs="Calibri" w:eastAsia="Calibri" w:hAnsi="Calibri"/>
          <w:sz w:val="28"/>
          <w:szCs w:val="28"/>
          <w:shd w:fill="f5f5f5" w:val="clear"/>
          <w:rtl w:val="0"/>
        </w:rPr>
        <w:t xml:space="preserve"> (what happens when disclosure fails and fraud occurs). Stark's Celsius victim statement reading is the only moment in the entire six-roundtable series where actual retail investor harm is given extended treatment.</w:t>
      </w:r>
    </w:p>
    <w:p w:rsidR="00000000" w:rsidDel="00000000" w:rsidP="00000000" w:rsidRDefault="00000000" w:rsidRPr="00000000" w14:paraId="00000227">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written inputs corpus reinforces this imbalance. Better Markets approached the Task Force specifically to consider fraud prevention — but this is one voice against dozens arguing for lighter-touch frameworks.</w:t>
      </w:r>
    </w:p>
    <w:p w:rsidR="00000000" w:rsidDel="00000000" w:rsidP="00000000" w:rsidRDefault="00000000" w:rsidRPr="00000000" w14:paraId="00000228">
      <w:pPr>
        <w:spacing w:after="240" w:before="240" w:line="259" w:lineRule="auto"/>
        <w:jc w:val="both"/>
        <w:rPr>
          <w:rFonts w:ascii="Calibri" w:cs="Calibri" w:eastAsia="Calibri" w:hAnsi="Calibri"/>
          <w:sz w:val="28"/>
          <w:szCs w:val="28"/>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259" w:lineRule="auto"/>
        <w:jc w:val="both"/>
        <w:rPr>
          <w:rFonts w:ascii="Calibri" w:cs="Calibri" w:eastAsia="Calibri" w:hAnsi="Calibri"/>
          <w:b w:val="1"/>
          <w:bCs w:val="1"/>
          <w:color w:val="000000"/>
          <w:sz w:val="26"/>
          <w:szCs w:val="26"/>
          <w:shd w:fill="f5f5f5" w:val="clear"/>
        </w:rPr>
      </w:pPr>
      <w:bookmarkStart w:colFirst="0" w:colLast="0" w:name="_4x5l24kufcui" w:id="49"/>
      <w:bookmarkEnd w:id="49"/>
      <w:r w:rsidDel="00000000" w:rsidR="00000000" w:rsidRPr="00000000">
        <w:rPr>
          <w:rFonts w:ascii="Calibri" w:cs="Calibri" w:eastAsia="Calibri" w:hAnsi="Calibri"/>
          <w:b w:val="1"/>
          <w:bCs w:val="1"/>
          <w:color w:val="000000"/>
          <w:sz w:val="26"/>
          <w:szCs w:val="26"/>
          <w:shd w:fill="f5f5f5" w:val="clear"/>
          <w:rtl w:val="0"/>
        </w:rPr>
        <w:t xml:space="preserve">CRI-Specific Synthesis: What This Means for Your Intelligence Products</w:t>
      </w:r>
    </w:p>
    <w:p w:rsidR="00000000" w:rsidDel="00000000" w:rsidP="00000000" w:rsidRDefault="00000000" w:rsidRPr="00000000" w14:paraId="0000022A">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The thematic map produces three actionable observations for CRI's positioning:</w:t>
      </w:r>
    </w:p>
    <w:p w:rsidR="00000000" w:rsidDel="00000000" w:rsidP="00000000" w:rsidRDefault="00000000" w:rsidRPr="00000000" w14:paraId="0000022B">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written inputs corpus is richer on operational specifics than the roundtable transcripts.</w:t>
      </w:r>
      <w:r w:rsidDel="00000000" w:rsidR="00000000" w:rsidRPr="00000000">
        <w:rPr>
          <w:rFonts w:ascii="Calibri" w:cs="Calibri" w:eastAsia="Calibri" w:hAnsi="Calibri"/>
          <w:sz w:val="28"/>
          <w:szCs w:val="28"/>
          <w:shd w:fill="f5f5f5" w:val="clear"/>
          <w:rtl w:val="0"/>
        </w:rPr>
        <w:t xml:space="preserve"> Submissions from SIFMA, Securitize, and traditional asset managers contain the technical detail (regulatory mapping charts, rule-by-rule analysis, specific exemption requests) that compliance teams actually need. Your pipeline should weight written inputs more heavily for the custody and tokenization intelligence products.</w:t>
      </w:r>
    </w:p>
    <w:p w:rsidR="00000000" w:rsidDel="00000000" w:rsidP="00000000" w:rsidRDefault="00000000" w:rsidRPr="00000000" w14:paraId="0000022C">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academic voice in the written inputs is thinner than in the roundtables.</w:t>
      </w:r>
      <w:r w:rsidDel="00000000" w:rsidR="00000000" w:rsidRPr="00000000">
        <w:rPr>
          <w:rFonts w:ascii="Calibri" w:cs="Calibri" w:eastAsia="Calibri" w:hAnsi="Calibri"/>
          <w:sz w:val="28"/>
          <w:szCs w:val="28"/>
          <w:shd w:fill="f5f5f5" w:val="clear"/>
          <w:rtl w:val="0"/>
        </w:rPr>
        <w:t xml:space="preserve"> This creates a structural gap your interpretation layer can fill. Brummer's regulatory debt framework, Levitin's three-risk taxonomy, and Werbach's functional equivalence argument are not adequately represented in the written inputs record — but they are analytically essential for predicting which industry arguments will survive judicial scrutiny and which will not. This is the durability question again.</w:t>
      </w:r>
    </w:p>
    <w:p w:rsidR="00000000" w:rsidDel="00000000" w:rsidP="00000000" w:rsidRDefault="00000000" w:rsidRPr="00000000" w14:paraId="0000022D">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b w:val="1"/>
          <w:bCs w:val="1"/>
          <w:sz w:val="28"/>
          <w:szCs w:val="28"/>
          <w:shd w:fill="f5f5f5" w:val="clear"/>
          <w:rtl w:val="0"/>
        </w:rPr>
        <w:t xml:space="preserve">The investor protection gap is a predictable future regulatory pressure point.</w:t>
      </w:r>
      <w:r w:rsidDel="00000000" w:rsidR="00000000" w:rsidRPr="00000000">
        <w:rPr>
          <w:rFonts w:ascii="Calibri" w:cs="Calibri" w:eastAsia="Calibri" w:hAnsi="Calibri"/>
          <w:sz w:val="28"/>
          <w:szCs w:val="28"/>
          <w:shd w:fill="f5f5f5" w:val="clear"/>
          <w:rtl w:val="0"/>
        </w:rPr>
        <w:t xml:space="preserve"> The current Task Force record is built almost entirely on industry and TradFi submissions. When the next administration reviews this record — or when a significant retail investor loss event occurs under the new framework — the thin investor protection documentation will be cited as evidence that the current guidance was captured. Clients who build compliance programs accounting for this future review will be better positioned than those who optimize only for the current guidance environment.</w:t>
      </w:r>
    </w:p>
    <w:p w:rsidR="00000000" w:rsidDel="00000000" w:rsidP="00000000" w:rsidRDefault="00000000" w:rsidRPr="00000000" w14:paraId="0000022E">
      <w:pPr>
        <w:spacing w:after="240" w:before="240" w:line="259" w:lineRule="auto"/>
        <w:jc w:val="both"/>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 Question 5: </w:t>
      </w:r>
    </w:p>
    <w:p w:rsidR="00000000" w:rsidDel="00000000" w:rsidP="00000000" w:rsidRDefault="00000000" w:rsidRPr="00000000" w14:paraId="0000022F">
      <w:pPr>
        <w:spacing w:after="160" w:line="259" w:lineRule="auto"/>
        <w:rPr>
          <w:rFonts w:ascii="Calibri" w:cs="Calibri" w:eastAsia="Calibri" w:hAnsi="Calibri"/>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What are the documented SEC positions regarding Global Stablecoin Arrangements (GSCs), and how do these align with FSB and FATF guidance?</w:t>
      </w:r>
    </w:p>
    <w:p w:rsidR="00000000" w:rsidDel="00000000" w:rsidP="00000000" w:rsidRDefault="00000000" w:rsidRPr="00000000" w14:paraId="00000230">
      <w:pPr>
        <w:spacing w:after="240" w:before="240" w:line="259" w:lineRule="auto"/>
        <w:jc w:val="both"/>
        <w:rPr>
          <w:rFonts w:ascii="Calibri" w:cs="Calibri" w:eastAsia="Calibri" w:hAnsi="Calibri"/>
          <w:sz w:val="28"/>
          <w:szCs w:val="28"/>
          <w:shd w:fill="f5f5f5" w:val="clear"/>
        </w:rPr>
      </w:pPr>
      <w:r w:rsidDel="00000000" w:rsidR="00000000" w:rsidRPr="00000000">
        <w:rPr>
          <w:rFonts w:ascii="Calibri" w:cs="Calibri" w:eastAsia="Calibri" w:hAnsi="Calibri"/>
          <w:sz w:val="28"/>
          <w:szCs w:val="28"/>
          <w:shd w:fill="f5f5f5" w:val="clear"/>
          <w:rtl w:val="0"/>
        </w:rPr>
        <w:t xml:space="preserve">CRI</w:t>
      </w:r>
    </w:p>
    <w:p w:rsidR="00000000" w:rsidDel="00000000" w:rsidP="00000000" w:rsidRDefault="00000000" w:rsidRPr="00000000" w14:paraId="00000231">
      <w:pPr>
        <w:spacing w:after="240" w:before="240" w:line="259" w:lineRule="auto"/>
        <w:jc w:val="both"/>
        <w:rPr>
          <w:color w:val="f5f5f5"/>
          <w:sz w:val="21"/>
          <w:szCs w:val="21"/>
          <w:shd w:fill="0b1120" w:val="clear"/>
        </w:rPr>
      </w:pPr>
      <w:r w:rsidDel="00000000" w:rsidR="00000000" w:rsidRPr="00000000">
        <w:rPr>
          <w:color w:val="f5f5f5"/>
          <w:sz w:val="21"/>
          <w:szCs w:val="21"/>
          <w:shd w:fill="0b1120" w:val="clear"/>
          <w:rtl w:val="0"/>
        </w:rPr>
        <w:t xml:space="preserve">I encountered an error while processing your request: Recursion limit of 25 reached without hitting a stop condition. You can increase the limit by setting the `recursion_limit` config key. For troubleshooting, visit: https://docs.langchain.com/oss/python/langgraph/errors/GRAPH_RECURSION_LIMIT. Please try again or rephrase your question.</w:t>
      </w:r>
    </w:p>
    <w:p w:rsidR="00000000" w:rsidDel="00000000" w:rsidP="00000000" w:rsidRDefault="00000000" w:rsidRPr="00000000" w14:paraId="00000232">
      <w:pPr>
        <w:spacing w:after="240" w:before="240" w:line="259" w:lineRule="auto"/>
        <w:jc w:val="both"/>
        <w:rPr>
          <w:color w:val="f5f5f5"/>
          <w:sz w:val="21"/>
          <w:szCs w:val="21"/>
          <w:shd w:fill="0b1120" w:val="clear"/>
        </w:rPr>
      </w:pPr>
      <w:r w:rsidDel="00000000" w:rsidR="00000000" w:rsidRPr="00000000">
        <w:rPr>
          <w:rtl w:val="0"/>
        </w:rPr>
      </w:r>
    </w:p>
    <w:p w:rsidR="00000000" w:rsidDel="00000000" w:rsidP="00000000" w:rsidRDefault="00000000" w:rsidRPr="00000000" w14:paraId="00000233">
      <w:pPr>
        <w:spacing w:after="240" w:before="240" w:line="259" w:lineRule="auto"/>
        <w:jc w:val="both"/>
        <w:rPr>
          <w:sz w:val="21"/>
          <w:szCs w:val="21"/>
          <w:shd w:fill="f5f5f5" w:val="clear"/>
        </w:rPr>
      </w:pPr>
      <w:hyperlink r:id="rId73">
        <w:r w:rsidDel="00000000" w:rsidR="00000000" w:rsidRPr="00000000">
          <w:rPr>
            <w:color w:val="1155cc"/>
            <w:sz w:val="21"/>
            <w:szCs w:val="21"/>
            <w:u w:val="single"/>
            <w:shd w:fill="f5f5f5" w:val="clear"/>
            <w:rtl w:val="0"/>
          </w:rPr>
          <w:t xml:space="preserve">Perplexity.ai</w:t>
        </w:r>
      </w:hyperlink>
      <w:r w:rsidDel="00000000" w:rsidR="00000000" w:rsidRPr="00000000">
        <w:rPr>
          <w:rtl w:val="0"/>
        </w:rPr>
      </w:r>
    </w:p>
    <w:p w:rsidR="00000000" w:rsidDel="00000000" w:rsidP="00000000" w:rsidRDefault="00000000" w:rsidRPr="00000000" w14:paraId="00000234">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SEC has not adopted a standalone, formal definition of “Global Stablecoin Arrangements (GSCs)” the way the FSB and G‑20 have, but its documented positions on stablecoins generally track the same risk lenses and policy principles used by the FSB and FATF for GSCs. I cannot view or quote the specific SEC documents you are referencing right now, but I can summarize the alignment based on their publicly described focus areas and the global standards.</w:t>
      </w:r>
    </w:p>
    <w:p w:rsidR="00000000" w:rsidDel="00000000" w:rsidP="00000000" w:rsidRDefault="00000000" w:rsidRPr="00000000" w14:paraId="00000235">
      <w:pPr>
        <w:pStyle w:val="Heading2"/>
        <w:keepNext w:val="0"/>
        <w:keepLines w:val="0"/>
        <w:spacing w:after="80" w:line="259" w:lineRule="auto"/>
        <w:jc w:val="both"/>
        <w:rPr>
          <w:b w:val="1"/>
          <w:bCs w:val="1"/>
          <w:sz w:val="34"/>
          <w:szCs w:val="34"/>
          <w:shd w:fill="f5f5f5" w:val="clear"/>
        </w:rPr>
      </w:pPr>
      <w:bookmarkStart w:colFirst="0" w:colLast="0" w:name="_xrfj6feqqmpy" w:id="50"/>
      <w:bookmarkEnd w:id="50"/>
      <w:r w:rsidDel="00000000" w:rsidR="00000000" w:rsidRPr="00000000">
        <w:rPr>
          <w:b w:val="1"/>
          <w:bCs w:val="1"/>
          <w:sz w:val="34"/>
          <w:szCs w:val="34"/>
          <w:shd w:fill="f5f5f5" w:val="clear"/>
          <w:rtl w:val="0"/>
        </w:rPr>
        <w:t xml:space="preserve">SEC positions on (global) stablecoins</w:t>
      </w:r>
    </w:p>
    <w:p w:rsidR="00000000" w:rsidDel="00000000" w:rsidP="00000000" w:rsidRDefault="00000000" w:rsidRPr="00000000" w14:paraId="00000236">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From speeches, staff statements, and the new U.S. statutory and prudential framework around payment stablecoins, the SEC’s positions relevant to GSC‑type arrangements consistently emphasize:</w:t>
      </w:r>
    </w:p>
    <w:p w:rsidR="00000000" w:rsidDel="00000000" w:rsidP="00000000" w:rsidRDefault="00000000" w:rsidRPr="00000000" w14:paraId="00000237">
      <w:pPr>
        <w:numPr>
          <w:ilvl w:val="0"/>
          <w:numId w:val="73"/>
        </w:numPr>
        <w:spacing w:after="0" w:afterAutospacing="0" w:before="24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Functional classification and “same business, same risk, same rules”:</w:t>
        <w:br w:type="textWrapping"/>
      </w:r>
      <w:r w:rsidDel="00000000" w:rsidR="00000000" w:rsidRPr="00000000">
        <w:rPr>
          <w:sz w:val="21"/>
          <w:szCs w:val="21"/>
          <w:shd w:fill="f5f5f5" w:val="clear"/>
          <w:rtl w:val="0"/>
        </w:rPr>
        <w:t xml:space="preserve"> The SEC treats a stablecoin or stablecoin‑linked product as a security if it functions like a money‑market fund, note, or investment contract (e.g., interest‑bearing, pooled reserves with profit‑sharing, or structured as an investment product), and otherwise expects it to sit in a banking / payment / commodities framework. This mirrors the FSB’s “same business, same risks, same rules” principle for GSCs, even though the SEC applies it within a U.S. split‑mandate system rather than as a single global rulebook.</w:t>
        <w:br w:type="textWrapping"/>
      </w:r>
    </w:p>
    <w:p w:rsidR="00000000" w:rsidDel="00000000" w:rsidP="00000000" w:rsidRDefault="00000000" w:rsidRPr="00000000" w14:paraId="00000238">
      <w:pPr>
        <w:numPr>
          <w:ilvl w:val="0"/>
          <w:numId w:val="73"/>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Market integrity and investor/consumer protection:</w:t>
        <w:br w:type="textWrapping"/>
      </w:r>
      <w:r w:rsidDel="00000000" w:rsidR="00000000" w:rsidRPr="00000000">
        <w:rPr>
          <w:sz w:val="21"/>
          <w:szCs w:val="21"/>
          <w:shd w:fill="f5f5f5" w:val="clear"/>
          <w:rtl w:val="0"/>
        </w:rPr>
        <w:t xml:space="preserve"> The SEC’s focus is on accurate disclosure (how the peg works, what backs the coin, who bears loss), robust governance and risk management for issuers and key intermediaries, and protection against misrepresentation, fraud, and manipulation in secondary markets. That is directly in line with FSB GSC recommendations on strong governance, disclosure, and robust risk‑management frameworks for issuers and key function providers.</w:t>
        <w:br w:type="textWrapping"/>
      </w:r>
    </w:p>
    <w:p w:rsidR="00000000" w:rsidDel="00000000" w:rsidP="00000000" w:rsidRDefault="00000000" w:rsidRPr="00000000" w14:paraId="00000239">
      <w:pPr>
        <w:numPr>
          <w:ilvl w:val="0"/>
          <w:numId w:val="73"/>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Perimeter and intermediation focus:</w:t>
        <w:br w:type="textWrapping"/>
      </w:r>
      <w:r w:rsidDel="00000000" w:rsidR="00000000" w:rsidRPr="00000000">
        <w:rPr>
          <w:sz w:val="21"/>
          <w:szCs w:val="21"/>
          <w:shd w:fill="f5f5f5" w:val="clear"/>
          <w:rtl w:val="0"/>
        </w:rPr>
        <w:t xml:space="preserve"> The SEC focuses less on the stablecoin itself as a “global” arrangement and more on:</w:t>
        <w:br w:type="textWrapping"/>
      </w:r>
    </w:p>
    <w:p w:rsidR="00000000" w:rsidDel="00000000" w:rsidP="00000000" w:rsidRDefault="00000000" w:rsidRPr="00000000" w14:paraId="0000023A">
      <w:pPr>
        <w:numPr>
          <w:ilvl w:val="1"/>
          <w:numId w:val="73"/>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stablecoin‑related products that are securities (yield‑bearing programs, tokenized MMF‑like structures, notes),</w:t>
        <w:br w:type="textWrapping"/>
      </w:r>
    </w:p>
    <w:p w:rsidR="00000000" w:rsidDel="00000000" w:rsidP="00000000" w:rsidRDefault="00000000" w:rsidRPr="00000000" w14:paraId="0000023B">
      <w:pPr>
        <w:numPr>
          <w:ilvl w:val="1"/>
          <w:numId w:val="73"/>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intermediaries using stablecoins (broker‑dealers, trading venues, advisers, funds), and</w:t>
        <w:br w:type="textWrapping"/>
      </w:r>
    </w:p>
    <w:p w:rsidR="00000000" w:rsidDel="00000000" w:rsidP="00000000" w:rsidRDefault="00000000" w:rsidRPr="00000000" w14:paraId="0000023C">
      <w:pPr>
        <w:numPr>
          <w:ilvl w:val="1"/>
          <w:numId w:val="73"/>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how those actors handle custody, capital, and liquidity when they use stablecoins.</w:t>
        <w:br w:type="textWrapping"/>
        <w:t xml:space="preserve"> This is consistent with FSB guidance, which treats GSCs as system‑level arrangements where intermediaries, wallets, and service providers are as important as the issuer.</w:t>
        <w:br w:type="textWrapping"/>
      </w:r>
    </w:p>
    <w:p w:rsidR="00000000" w:rsidDel="00000000" w:rsidP="00000000" w:rsidRDefault="00000000" w:rsidRPr="00000000" w14:paraId="0000023D">
      <w:pPr>
        <w:numPr>
          <w:ilvl w:val="0"/>
          <w:numId w:val="73"/>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Deference to banking regulators for core issuance risk:</w:t>
        <w:br w:type="textWrapping"/>
      </w:r>
      <w:r w:rsidDel="00000000" w:rsidR="00000000" w:rsidRPr="00000000">
        <w:rPr>
          <w:sz w:val="21"/>
          <w:szCs w:val="21"/>
          <w:shd w:fill="f5f5f5" w:val="clear"/>
          <w:rtl w:val="0"/>
        </w:rPr>
        <w:t xml:space="preserve"> With payment stablecoins now largely carved into a prudential, bank‑style regime in the U.S., the SEC positions itself as:</w:t>
        <w:br w:type="textWrapping"/>
      </w:r>
    </w:p>
    <w:p w:rsidR="00000000" w:rsidDel="00000000" w:rsidP="00000000" w:rsidRDefault="00000000" w:rsidRPr="00000000" w14:paraId="0000023E">
      <w:pPr>
        <w:numPr>
          <w:ilvl w:val="1"/>
          <w:numId w:val="73"/>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the capital‑markets regulator for stablecoin‑linked securities and registered intermediaries,</w:t>
        <w:br w:type="textWrapping"/>
      </w:r>
    </w:p>
    <w:p w:rsidR="00000000" w:rsidDel="00000000" w:rsidP="00000000" w:rsidRDefault="00000000" w:rsidRPr="00000000" w14:paraId="0000023F">
      <w:pPr>
        <w:numPr>
          <w:ilvl w:val="1"/>
          <w:numId w:val="73"/>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a market‑integrity and disclosure enforcer where stablecoins are used in securities markets, and</w:t>
        <w:br w:type="textWrapping"/>
      </w:r>
    </w:p>
    <w:p w:rsidR="00000000" w:rsidDel="00000000" w:rsidP="00000000" w:rsidRDefault="00000000" w:rsidRPr="00000000" w14:paraId="00000240">
      <w:pPr>
        <w:numPr>
          <w:ilvl w:val="1"/>
          <w:numId w:val="73"/>
        </w:numPr>
        <w:spacing w:after="24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a participant in cross‑agency work streams on systemic risk.</w:t>
        <w:br w:type="textWrapping"/>
        <w:t xml:space="preserve"> That division of labor is broadly consistent with FSB recommendations that GSCs be subject to comprehensive, coordinated oversight involving securities, banking, and payment regulators.</w:t>
        <w:br w:type="textWrapping"/>
      </w:r>
    </w:p>
    <w:p w:rsidR="00000000" w:rsidDel="00000000" w:rsidP="00000000" w:rsidRDefault="00000000" w:rsidRPr="00000000" w14:paraId="00000241">
      <w:pPr>
        <w:pStyle w:val="Heading2"/>
        <w:keepNext w:val="0"/>
        <w:keepLines w:val="0"/>
        <w:spacing w:after="80" w:line="259" w:lineRule="auto"/>
        <w:jc w:val="both"/>
        <w:rPr>
          <w:b w:val="1"/>
          <w:bCs w:val="1"/>
          <w:sz w:val="34"/>
          <w:szCs w:val="34"/>
          <w:shd w:fill="f5f5f5" w:val="clear"/>
        </w:rPr>
      </w:pPr>
      <w:bookmarkStart w:colFirst="0" w:colLast="0" w:name="_6f8s7jz9khmn" w:id="51"/>
      <w:bookmarkEnd w:id="51"/>
      <w:r w:rsidDel="00000000" w:rsidR="00000000" w:rsidRPr="00000000">
        <w:rPr>
          <w:b w:val="1"/>
          <w:bCs w:val="1"/>
          <w:sz w:val="34"/>
          <w:szCs w:val="34"/>
          <w:shd w:fill="f5f5f5" w:val="clear"/>
          <w:rtl w:val="0"/>
        </w:rPr>
        <w:t xml:space="preserve">Alignment with FSB GSC recommendations</w:t>
      </w:r>
    </w:p>
    <w:p w:rsidR="00000000" w:rsidDel="00000000" w:rsidP="00000000" w:rsidRDefault="00000000" w:rsidRPr="00000000" w14:paraId="00000242">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FSB GSC recommendations include, among other things:</w:t>
      </w:r>
    </w:p>
    <w:p w:rsidR="00000000" w:rsidDel="00000000" w:rsidP="00000000" w:rsidRDefault="00000000" w:rsidRPr="00000000" w14:paraId="00000243">
      <w:pPr>
        <w:numPr>
          <w:ilvl w:val="0"/>
          <w:numId w:val="38"/>
        </w:numPr>
        <w:spacing w:after="0" w:afterAutospacing="0" w:before="240" w:line="259" w:lineRule="auto"/>
        <w:ind w:left="720" w:hanging="360"/>
        <w:rPr>
          <w:sz w:val="21"/>
          <w:szCs w:val="21"/>
          <w:shd w:fill="f5f5f5" w:val="clear"/>
        </w:rPr>
      </w:pPr>
      <w:r w:rsidDel="00000000" w:rsidR="00000000" w:rsidRPr="00000000">
        <w:rPr>
          <w:sz w:val="21"/>
          <w:szCs w:val="21"/>
          <w:shd w:fill="f5f5f5" w:val="clear"/>
          <w:rtl w:val="0"/>
        </w:rPr>
        <w:t xml:space="preserve">“Same business, same risk, same rules.”</w:t>
        <w:br w:type="textWrapping"/>
        <w:t xml:space="preserve"> SEC doctrine and staff commentary on stablecoin‑linked products are built on this premise: if a stablecoin or program is economically equivalent to a security or MMF, treat it as such, including registration, disclosure, and ongoing obligations.</w:t>
        <w:br w:type="textWrapping"/>
      </w:r>
    </w:p>
    <w:p w:rsidR="00000000" w:rsidDel="00000000" w:rsidP="00000000" w:rsidRDefault="00000000" w:rsidRPr="00000000" w14:paraId="00000244">
      <w:pPr>
        <w:numPr>
          <w:ilvl w:val="0"/>
          <w:numId w:val="38"/>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Comprehensive governance and risk‑management frameworks:</w:t>
        <w:br w:type="textWrapping"/>
      </w:r>
      <w:r w:rsidDel="00000000" w:rsidR="00000000" w:rsidRPr="00000000">
        <w:rPr>
          <w:sz w:val="21"/>
          <w:szCs w:val="21"/>
          <w:shd w:fill="f5f5f5" w:val="clear"/>
          <w:rtl w:val="0"/>
        </w:rPr>
        <w:t xml:space="preserve"> FSB expects GSC arrangements to have robust governance, clear responsibilities, and effective risk management for reserve assets, liquidity, operational resilience, cyber risk, and redemption. The SEC’s stablecoin‑related actions and guidance emphasize:</w:t>
        <w:br w:type="textWrapping"/>
      </w:r>
    </w:p>
    <w:p w:rsidR="00000000" w:rsidDel="00000000" w:rsidP="00000000" w:rsidRDefault="00000000" w:rsidRPr="00000000" w14:paraId="00000245">
      <w:pPr>
        <w:numPr>
          <w:ilvl w:val="1"/>
          <w:numId w:val="38"/>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accurate, non‑misleading disclosure about reserve composition and governance;</w:t>
        <w:br w:type="textWrapping"/>
      </w:r>
    </w:p>
    <w:p w:rsidR="00000000" w:rsidDel="00000000" w:rsidP="00000000" w:rsidRDefault="00000000" w:rsidRPr="00000000" w14:paraId="00000246">
      <w:pPr>
        <w:numPr>
          <w:ilvl w:val="1"/>
          <w:numId w:val="38"/>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controls over conflicts of interest for platforms and affiliates;</w:t>
        <w:br w:type="textWrapping"/>
      </w:r>
    </w:p>
    <w:p w:rsidR="00000000" w:rsidDel="00000000" w:rsidP="00000000" w:rsidRDefault="00000000" w:rsidRPr="00000000" w14:paraId="00000247">
      <w:pPr>
        <w:numPr>
          <w:ilvl w:val="1"/>
          <w:numId w:val="38"/>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scrutiny for arrangements where the stablecoin behaves like a fund or structured note.</w:t>
        <w:br w:type="textWrapping"/>
      </w:r>
    </w:p>
    <w:p w:rsidR="00000000" w:rsidDel="00000000" w:rsidP="00000000" w:rsidRDefault="00000000" w:rsidRPr="00000000" w14:paraId="00000248">
      <w:pPr>
        <w:numPr>
          <w:ilvl w:val="0"/>
          <w:numId w:val="38"/>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Reserve, redemption, and run‑risk controls:</w:t>
        <w:br w:type="textWrapping"/>
      </w:r>
      <w:r w:rsidDel="00000000" w:rsidR="00000000" w:rsidRPr="00000000">
        <w:rPr>
          <w:sz w:val="21"/>
          <w:szCs w:val="21"/>
          <w:shd w:fill="f5f5f5" w:val="clear"/>
          <w:rtl w:val="0"/>
        </w:rPr>
        <w:t xml:space="preserve"> FSB GSC guidance stresses high‑quality, liquid reserves, clear and enforceable redemption rights at (or close to) par, and mechanisms to reduce run risk. Although prudential regulators lead on these points in the U.S., the SEC’s positions on stablecoins used in securities markets assume:</w:t>
        <w:br w:type="textWrapping"/>
      </w:r>
    </w:p>
    <w:p w:rsidR="00000000" w:rsidDel="00000000" w:rsidP="00000000" w:rsidRDefault="00000000" w:rsidRPr="00000000" w14:paraId="00000249">
      <w:pPr>
        <w:numPr>
          <w:ilvl w:val="1"/>
          <w:numId w:val="38"/>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clear disclosure of backing and redemption terms,</w:t>
        <w:br w:type="textWrapping"/>
      </w:r>
    </w:p>
    <w:p w:rsidR="00000000" w:rsidDel="00000000" w:rsidP="00000000" w:rsidRDefault="00000000" w:rsidRPr="00000000" w14:paraId="0000024A">
      <w:pPr>
        <w:numPr>
          <w:ilvl w:val="1"/>
          <w:numId w:val="38"/>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no false impression of guaranteed par or deposit‑like safety unless supported by regulation, and</w:t>
        <w:br w:type="textWrapping"/>
      </w:r>
    </w:p>
    <w:p w:rsidR="00000000" w:rsidDel="00000000" w:rsidP="00000000" w:rsidRDefault="00000000" w:rsidRPr="00000000" w14:paraId="0000024B">
      <w:pPr>
        <w:numPr>
          <w:ilvl w:val="1"/>
          <w:numId w:val="38"/>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careful treatment of stablecoins in capital and liquidity calculations for broker‑dealers and funds (e.g., net‑capital haircuts, how stablecoins are treated in liquidity risk management).</w:t>
        <w:br w:type="textWrapping"/>
      </w:r>
    </w:p>
    <w:p w:rsidR="00000000" w:rsidDel="00000000" w:rsidP="00000000" w:rsidRDefault="00000000" w:rsidRPr="00000000" w14:paraId="0000024C">
      <w:pPr>
        <w:numPr>
          <w:ilvl w:val="0"/>
          <w:numId w:val="38"/>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Cross‑border and systemic risk awareness:</w:t>
        <w:br w:type="textWrapping"/>
      </w:r>
      <w:r w:rsidDel="00000000" w:rsidR="00000000" w:rsidRPr="00000000">
        <w:rPr>
          <w:sz w:val="21"/>
          <w:szCs w:val="21"/>
          <w:shd w:fill="f5f5f5" w:val="clear"/>
          <w:rtl w:val="0"/>
        </w:rPr>
        <w:t xml:space="preserve"> FSB’s “GSC” framing is explicitly about cross‑border, potentially systemic stablecoins. The SEC, within its mandate, reflects this by:</w:t>
        <w:br w:type="textWrapping"/>
      </w:r>
    </w:p>
    <w:p w:rsidR="00000000" w:rsidDel="00000000" w:rsidP="00000000" w:rsidRDefault="00000000" w:rsidRPr="00000000" w14:paraId="0000024D">
      <w:pPr>
        <w:numPr>
          <w:ilvl w:val="1"/>
          <w:numId w:val="38"/>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focusing on large U.S. intermediaries that distribute or rely on dollar‑stablecoins globally;</w:t>
        <w:br w:type="textWrapping"/>
      </w:r>
    </w:p>
    <w:p w:rsidR="00000000" w:rsidDel="00000000" w:rsidP="00000000" w:rsidRDefault="00000000" w:rsidRPr="00000000" w14:paraId="0000024E">
      <w:pPr>
        <w:numPr>
          <w:ilvl w:val="1"/>
          <w:numId w:val="38"/>
        </w:numPr>
        <w:spacing w:after="24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coordinating with other U.S. regulators and, via IOSCO and FSB workstreams, with foreign securities regulators, on disclosure and trading‑venue standards.</w:t>
        <w:br w:type="textWrapping"/>
      </w:r>
    </w:p>
    <w:p w:rsidR="00000000" w:rsidDel="00000000" w:rsidP="00000000" w:rsidRDefault="00000000" w:rsidRPr="00000000" w14:paraId="0000024F">
      <w:pPr>
        <w:pStyle w:val="Heading2"/>
        <w:keepNext w:val="0"/>
        <w:keepLines w:val="0"/>
        <w:spacing w:after="80" w:line="259" w:lineRule="auto"/>
        <w:jc w:val="both"/>
        <w:rPr>
          <w:b w:val="1"/>
          <w:bCs w:val="1"/>
          <w:sz w:val="34"/>
          <w:szCs w:val="34"/>
          <w:shd w:fill="f5f5f5" w:val="clear"/>
        </w:rPr>
      </w:pPr>
      <w:bookmarkStart w:colFirst="0" w:colLast="0" w:name="_9hrojb5wzoqx" w:id="52"/>
      <w:bookmarkEnd w:id="52"/>
      <w:r w:rsidDel="00000000" w:rsidR="00000000" w:rsidRPr="00000000">
        <w:rPr>
          <w:b w:val="1"/>
          <w:bCs w:val="1"/>
          <w:sz w:val="34"/>
          <w:szCs w:val="34"/>
          <w:shd w:fill="f5f5f5" w:val="clear"/>
          <w:rtl w:val="0"/>
        </w:rPr>
        <w:t xml:space="preserve">Alignment with FATF guidance</w:t>
      </w:r>
    </w:p>
    <w:p w:rsidR="00000000" w:rsidDel="00000000" w:rsidP="00000000" w:rsidRDefault="00000000" w:rsidRPr="00000000" w14:paraId="00000250">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FATF’s guidance on stablecoins and “so‑called global stablecoins” is primarily AML/CFT‑focused rather than securities‑law‑focused. On that axis, SEC positions align in the following ways:</w:t>
      </w:r>
    </w:p>
    <w:p w:rsidR="00000000" w:rsidDel="00000000" w:rsidP="00000000" w:rsidRDefault="00000000" w:rsidRPr="00000000" w14:paraId="00000251">
      <w:pPr>
        <w:numPr>
          <w:ilvl w:val="0"/>
          <w:numId w:val="62"/>
        </w:numPr>
        <w:spacing w:after="0" w:afterAutospacing="0" w:before="24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Regulated intermediaries and Travel Rule compliance:</w:t>
        <w:br w:type="textWrapping"/>
      </w:r>
      <w:r w:rsidDel="00000000" w:rsidR="00000000" w:rsidRPr="00000000">
        <w:rPr>
          <w:sz w:val="21"/>
          <w:szCs w:val="21"/>
          <w:shd w:fill="f5f5f5" w:val="clear"/>
          <w:rtl w:val="0"/>
        </w:rPr>
        <w:t xml:space="preserve"> FATF expects intermediaries in GSC arrangements to be regulated “virtual asset service providers” (VASPs) with KYC, AML/CFT, and Travel Rule obligations. The SEC builds on this by:</w:t>
        <w:br w:type="textWrapping"/>
      </w:r>
    </w:p>
    <w:p w:rsidR="00000000" w:rsidDel="00000000" w:rsidP="00000000" w:rsidRDefault="00000000" w:rsidRPr="00000000" w14:paraId="00000252">
      <w:pPr>
        <w:numPr>
          <w:ilvl w:val="1"/>
          <w:numId w:val="62"/>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requiring SEC‑registered broker‑dealers, ATSs, and other intermediaries that handle stablecoins to comply with U.S. AML/CFT laws and rules enforced through their SROs and other agencies;</w:t>
        <w:br w:type="textWrapping"/>
      </w:r>
    </w:p>
    <w:p w:rsidR="00000000" w:rsidDel="00000000" w:rsidP="00000000" w:rsidRDefault="00000000" w:rsidRPr="00000000" w14:paraId="00000253">
      <w:pPr>
        <w:numPr>
          <w:ilvl w:val="1"/>
          <w:numId w:val="62"/>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scrutinizing any structures that appear designed to arbitrage AML/CFT obligations via off‑shore routing or pseudo‑decentralized front ends.</w:t>
        <w:br w:type="textWrapping"/>
      </w:r>
    </w:p>
    <w:p w:rsidR="00000000" w:rsidDel="00000000" w:rsidP="00000000" w:rsidRDefault="00000000" w:rsidRPr="00000000" w14:paraId="00000254">
      <w:pPr>
        <w:numPr>
          <w:ilvl w:val="0"/>
          <w:numId w:val="62"/>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Risk‑based approach and cross‑border cooperation:</w:t>
        <w:br w:type="textWrapping"/>
      </w:r>
      <w:r w:rsidDel="00000000" w:rsidR="00000000" w:rsidRPr="00000000">
        <w:rPr>
          <w:sz w:val="21"/>
          <w:szCs w:val="21"/>
          <w:shd w:fill="f5f5f5" w:val="clear"/>
          <w:rtl w:val="0"/>
        </w:rPr>
        <w:t xml:space="preserve"> FATF calls for a risk‑based approach and strong cross‑border cooperation for GSCs. The SEC echoes this in its participation in joint international workstreams and its focus on foreign issuers whose stablecoins are widely used in U.S. securities markets, even if the core issuance activity occurs offshore.</w:t>
        <w:br w:type="textWrapping"/>
      </w:r>
    </w:p>
    <w:p w:rsidR="00000000" w:rsidDel="00000000" w:rsidP="00000000" w:rsidRDefault="00000000" w:rsidRPr="00000000" w14:paraId="00000255">
      <w:pPr>
        <w:numPr>
          <w:ilvl w:val="0"/>
          <w:numId w:val="62"/>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Focus on governance and “responsible persons”:</w:t>
        <w:br w:type="textWrapping"/>
      </w:r>
      <w:r w:rsidDel="00000000" w:rsidR="00000000" w:rsidRPr="00000000">
        <w:rPr>
          <w:sz w:val="21"/>
          <w:szCs w:val="21"/>
          <w:shd w:fill="f5f5f5" w:val="clear"/>
          <w:rtl w:val="0"/>
        </w:rPr>
        <w:t xml:space="preserve"> FATF guidance stresses identifying “responsible persons” in otherwise decentralized or multi‑party stablecoin arrangements. SEC positions track this concept by looking through to:</w:t>
        <w:br w:type="textWrapping"/>
      </w:r>
    </w:p>
    <w:p w:rsidR="00000000" w:rsidDel="00000000" w:rsidP="00000000" w:rsidRDefault="00000000" w:rsidRPr="00000000" w14:paraId="00000256">
      <w:pPr>
        <w:numPr>
          <w:ilvl w:val="1"/>
          <w:numId w:val="62"/>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the entities controlling reserve assets,</w:t>
        <w:br w:type="textWrapping"/>
      </w:r>
    </w:p>
    <w:p w:rsidR="00000000" w:rsidDel="00000000" w:rsidP="00000000" w:rsidRDefault="00000000" w:rsidRPr="00000000" w14:paraId="00000257">
      <w:pPr>
        <w:numPr>
          <w:ilvl w:val="1"/>
          <w:numId w:val="62"/>
        </w:numPr>
        <w:spacing w:after="0" w:afterAutospacing="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the operator(s) of the smart contracts governing issuance and redemption, and</w:t>
        <w:br w:type="textWrapping"/>
      </w:r>
    </w:p>
    <w:p w:rsidR="00000000" w:rsidDel="00000000" w:rsidP="00000000" w:rsidRDefault="00000000" w:rsidRPr="00000000" w14:paraId="00000258">
      <w:pPr>
        <w:numPr>
          <w:ilvl w:val="1"/>
          <w:numId w:val="62"/>
        </w:numPr>
        <w:spacing w:after="240" w:before="0" w:beforeAutospacing="0" w:line="259" w:lineRule="auto"/>
        <w:ind w:left="1440" w:hanging="360"/>
        <w:rPr>
          <w:sz w:val="21"/>
          <w:szCs w:val="21"/>
          <w:shd w:fill="f5f5f5" w:val="clear"/>
        </w:rPr>
      </w:pPr>
      <w:r w:rsidDel="00000000" w:rsidR="00000000" w:rsidRPr="00000000">
        <w:rPr>
          <w:sz w:val="21"/>
          <w:szCs w:val="21"/>
          <w:shd w:fill="f5f5f5" w:val="clear"/>
          <w:rtl w:val="0"/>
        </w:rPr>
        <w:t xml:space="preserve">the entities that market the stablecoin to U.S. investors.</w:t>
        <w:br w:type="textWrapping"/>
      </w:r>
    </w:p>
    <w:p w:rsidR="00000000" w:rsidDel="00000000" w:rsidP="00000000" w:rsidRDefault="00000000" w:rsidRPr="00000000" w14:paraId="00000259">
      <w:pPr>
        <w:pStyle w:val="Heading2"/>
        <w:keepNext w:val="0"/>
        <w:keepLines w:val="0"/>
        <w:spacing w:after="80" w:line="259" w:lineRule="auto"/>
        <w:jc w:val="both"/>
        <w:rPr>
          <w:b w:val="1"/>
          <w:bCs w:val="1"/>
          <w:sz w:val="34"/>
          <w:szCs w:val="34"/>
          <w:shd w:fill="f5f5f5" w:val="clear"/>
        </w:rPr>
      </w:pPr>
      <w:bookmarkStart w:colFirst="0" w:colLast="0" w:name="_73euwgsa84q8" w:id="53"/>
      <w:bookmarkEnd w:id="53"/>
      <w:r w:rsidDel="00000000" w:rsidR="00000000" w:rsidRPr="00000000">
        <w:rPr>
          <w:b w:val="1"/>
          <w:bCs w:val="1"/>
          <w:sz w:val="34"/>
          <w:szCs w:val="34"/>
          <w:shd w:fill="f5f5f5" w:val="clear"/>
          <w:rtl w:val="0"/>
        </w:rPr>
        <w:t xml:space="preserve">Where SEC, FSB, and FATF differ in emphasis</w:t>
      </w:r>
    </w:p>
    <w:p w:rsidR="00000000" w:rsidDel="00000000" w:rsidP="00000000" w:rsidRDefault="00000000" w:rsidRPr="00000000" w14:paraId="0000025A">
      <w:pPr>
        <w:numPr>
          <w:ilvl w:val="0"/>
          <w:numId w:val="53"/>
        </w:numPr>
        <w:spacing w:after="0" w:afterAutospacing="0" w:before="24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Terminology and scope:</w:t>
        <w:br w:type="textWrapping"/>
      </w:r>
      <w:r w:rsidDel="00000000" w:rsidR="00000000" w:rsidRPr="00000000">
        <w:rPr>
          <w:sz w:val="21"/>
          <w:szCs w:val="21"/>
          <w:shd w:fill="f5f5f5" w:val="clear"/>
          <w:rtl w:val="0"/>
        </w:rPr>
        <w:t xml:space="preserve"> FSB and FATF use the explicit “GSC” label for arrangements that are global and potentially systemic. The SEC rarely uses that label and instead focuses on whether a particular coin or program is a “security,” part of a money‑market‑fund‑like structure, or used in securities markets.</w:t>
        <w:br w:type="textWrapping"/>
      </w:r>
    </w:p>
    <w:p w:rsidR="00000000" w:rsidDel="00000000" w:rsidP="00000000" w:rsidRDefault="00000000" w:rsidRPr="00000000" w14:paraId="0000025B">
      <w:pPr>
        <w:numPr>
          <w:ilvl w:val="0"/>
          <w:numId w:val="53"/>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Mandate boundaries:</w:t>
        <w:br w:type="textWrapping"/>
      </w:r>
      <w:r w:rsidDel="00000000" w:rsidR="00000000" w:rsidRPr="00000000">
        <w:rPr>
          <w:sz w:val="21"/>
          <w:szCs w:val="21"/>
          <w:shd w:fill="f5f5f5" w:val="clear"/>
          <w:rtl w:val="0"/>
        </w:rPr>
        <w:t xml:space="preserve"> FSB guidance is system‑wide and assumes multiple functional regulators; FATF focuses on AML/CFT. The SEC’s stablecoin‑related positions are narrower, anchored in securities‑law jurisdiction and market‑integrity concerns, with systemic and prudential points handled mostly through inter‑agency work rather than standalone SEC rules for GSCs as such.</w:t>
        <w:br w:type="textWrapping"/>
      </w:r>
    </w:p>
    <w:p w:rsidR="00000000" w:rsidDel="00000000" w:rsidP="00000000" w:rsidRDefault="00000000" w:rsidRPr="00000000" w14:paraId="0000025C">
      <w:pPr>
        <w:numPr>
          <w:ilvl w:val="0"/>
          <w:numId w:val="53"/>
        </w:numPr>
        <w:spacing w:after="24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Implementation tools:</w:t>
        <w:br w:type="textWrapping"/>
      </w:r>
      <w:r w:rsidDel="00000000" w:rsidR="00000000" w:rsidRPr="00000000">
        <w:rPr>
          <w:sz w:val="21"/>
          <w:szCs w:val="21"/>
          <w:shd w:fill="f5f5f5" w:val="clear"/>
          <w:rtl w:val="0"/>
        </w:rPr>
        <w:t xml:space="preserve"> FSB and FATF issue high‑level standards that countries implement through domestic law. The SEC mainly uses existing securities‑law tools (enforcement, staff guidance, no‑action relief, exemptive authority, and targeted rulemakings) and relies on banking regulators and new statutes to implement prudential GSC‑like standards for large payment stablecoins.</w:t>
        <w:br w:type="textWrapping"/>
      </w:r>
    </w:p>
    <w:p w:rsidR="00000000" w:rsidDel="00000000" w:rsidP="00000000" w:rsidRDefault="00000000" w:rsidRPr="00000000" w14:paraId="0000025D">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If you want, I can next map specific FSB “GSC” recommendation headings to the main SEC levers (registration, disclosure, market‑structure rules, and inter‑agency coordination) so you can drop them directly into a memo or slide.</w:t>
      </w:r>
    </w:p>
    <w:p w:rsidR="00000000" w:rsidDel="00000000" w:rsidP="00000000" w:rsidRDefault="00000000" w:rsidRPr="00000000" w14:paraId="0000025E">
      <w:pPr>
        <w:spacing w:after="240" w:before="240" w:line="259" w:lineRule="auto"/>
        <w:jc w:val="both"/>
        <w:rPr>
          <w:sz w:val="21"/>
          <w:szCs w:val="21"/>
          <w:shd w:fill="f5f5f5" w:val="clear"/>
        </w:rPr>
      </w:pPr>
      <w:hyperlink r:id="rId74">
        <w:r w:rsidDel="00000000" w:rsidR="00000000" w:rsidRPr="00000000">
          <w:rPr>
            <w:color w:val="1155cc"/>
            <w:sz w:val="21"/>
            <w:szCs w:val="21"/>
            <w:u w:val="single"/>
            <w:shd w:fill="f5f5f5" w:val="clear"/>
            <w:rtl w:val="0"/>
          </w:rPr>
          <w:t xml:space="preserve">Claude.ai</w:t>
        </w:r>
      </w:hyperlink>
      <w:r w:rsidDel="00000000" w:rsidR="00000000" w:rsidRPr="00000000">
        <w:rPr>
          <w:rtl w:val="0"/>
        </w:rPr>
      </w:r>
    </w:p>
    <w:p w:rsidR="00000000" w:rsidDel="00000000" w:rsidP="00000000" w:rsidRDefault="00000000" w:rsidRPr="00000000" w14:paraId="0000025F">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This is a question where the three-layer structure of the analysis matters considerably: the SEC's position, the FSB's framework, and FATF's AML/CFT standards operate from different mandates and address different risk categories — and the gaps between them are exactly where your clients' compliance exposure lives. Here is the structured comparative analysis.</w:t>
      </w:r>
    </w:p>
    <w:p w:rsidR="00000000" w:rsidDel="00000000" w:rsidP="00000000" w:rsidRDefault="00000000" w:rsidRPr="00000000" w14:paraId="00000260">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259" w:lineRule="auto"/>
        <w:jc w:val="both"/>
        <w:rPr>
          <w:b w:val="1"/>
          <w:bCs w:val="1"/>
          <w:sz w:val="34"/>
          <w:szCs w:val="34"/>
          <w:shd w:fill="f5f5f5" w:val="clear"/>
        </w:rPr>
      </w:pPr>
      <w:bookmarkStart w:colFirst="0" w:colLast="0" w:name="_47dbk1i6jwri" w:id="54"/>
      <w:bookmarkEnd w:id="54"/>
      <w:r w:rsidDel="00000000" w:rsidR="00000000" w:rsidRPr="00000000">
        <w:rPr>
          <w:b w:val="1"/>
          <w:bCs w:val="1"/>
          <w:sz w:val="34"/>
          <w:szCs w:val="34"/>
          <w:shd w:fill="f5f5f5" w:val="clear"/>
          <w:rtl w:val="0"/>
        </w:rPr>
        <w:t xml:space="preserve">SEC on GSCs, FSB Recommendations, and FATF Standards: A Three-Way Alignment Analysis</w:t>
      </w:r>
    </w:p>
    <w:p w:rsidR="00000000" w:rsidDel="00000000" w:rsidP="00000000" w:rsidRDefault="00000000" w:rsidRPr="00000000" w14:paraId="00000262">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259" w:lineRule="auto"/>
        <w:jc w:val="both"/>
        <w:rPr>
          <w:b w:val="1"/>
          <w:bCs w:val="1"/>
          <w:color w:val="000000"/>
          <w:sz w:val="26"/>
          <w:szCs w:val="26"/>
          <w:shd w:fill="f5f5f5" w:val="clear"/>
        </w:rPr>
      </w:pPr>
      <w:bookmarkStart w:colFirst="0" w:colLast="0" w:name="_xeyvr7c4ff21" w:id="55"/>
      <w:bookmarkEnd w:id="55"/>
      <w:r w:rsidDel="00000000" w:rsidR="00000000" w:rsidRPr="00000000">
        <w:rPr>
          <w:b w:val="1"/>
          <w:bCs w:val="1"/>
          <w:color w:val="000000"/>
          <w:sz w:val="26"/>
          <w:szCs w:val="26"/>
          <w:shd w:fill="f5f5f5" w:val="clear"/>
          <w:rtl w:val="0"/>
        </w:rPr>
        <w:t xml:space="preserve">Layer 1: The SEC's Documented Position on Stablecoins</w:t>
      </w:r>
    </w:p>
    <w:p w:rsidR="00000000" w:rsidDel="00000000" w:rsidP="00000000" w:rsidRDefault="00000000" w:rsidRPr="00000000" w14:paraId="00000264">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SEC's current position is anchored in the April 4, 2025 Division of Corporation Finance staff statement — the most definitive agency statement on stablecoin classification to date.</w:t>
      </w:r>
    </w:p>
    <w:p w:rsidR="00000000" w:rsidDel="00000000" w:rsidP="00000000" w:rsidRDefault="00000000" w:rsidRPr="00000000" w14:paraId="00000265">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"Covered Stablecoin" Definition and Non-Securities Determination</w:t>
      </w:r>
    </w:p>
    <w:p w:rsidR="00000000" w:rsidDel="00000000" w:rsidP="00000000" w:rsidRDefault="00000000" w:rsidRPr="00000000" w14:paraId="00000266">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Division defines "Covered Stablecoins" as crypto assets pegged one-to-one with the US dollar, fully backed by a reserve of USD or low-risk liquid assets such as Treasury securities or cash equivalents, redeemable on demand on a one-for-one basis, and crucially, these stablecoins must not offer yield, interest, or ownership or governance rights and must be marketed solely for payments, money transmission, or value storage — not investment.</w:t>
      </w:r>
    </w:p>
    <w:p w:rsidR="00000000" w:rsidDel="00000000" w:rsidP="00000000" w:rsidRDefault="00000000" w:rsidRPr="00000000" w14:paraId="00000267">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legal analysis applies two tests sequentially. Under the Reves family resemblance test for notes: the Division finds that issuers use proceeds from sales to fund reserves rather than speculative ventures, buyers seek utility not profit given the absence of yield, the mint-redeem structure deters speculation, Covered Stablecoins are marketed as transfers and stores of value not investments, and a fully backed segregated reserve ensures redemption — reducing the need for securities law oversight.</w:t>
      </w:r>
    </w:p>
    <w:p w:rsidR="00000000" w:rsidDel="00000000" w:rsidP="00000000" w:rsidRDefault="00000000" w:rsidRPr="00000000" w14:paraId="00000268">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Under the Howey investment contract test: the Staff concluded that buyers do not purchase Covered Stablecoins with a reasonable expectation of profit derived from the entrepreneurial or managerial efforts of others, noting that buyers are motivated to use or consume Covered Stablecoins as "digital dollars" in the same way one would use USD.</w:t>
      </w:r>
    </w:p>
    <w:p w:rsidR="00000000" w:rsidDel="00000000" w:rsidP="00000000" w:rsidRDefault="00000000" w:rsidRPr="00000000" w14:paraId="00000269">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Critical Internal Dissent</w:t>
      </w:r>
    </w:p>
    <w:p w:rsidR="00000000" w:rsidDel="00000000" w:rsidP="00000000" w:rsidRDefault="00000000" w:rsidRPr="00000000" w14:paraId="0000026A">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Commissioner Crenshaw's dissent is analytically significant for CRI clients because it identifies the structural vulnerability in the staff statement. Crenshaw cautioned that the Staff's statement "reflects a fundamental misunderstanding of the law and the realities of stablecoin arrangements," expressing concern that the analysis understates risks associated with reserve asset quality, lack of enforceable redemption rights for retail holders, and the potential for systemic "run" scenarios — and questioned the Staff's conclusion that purchasers have no expectation of profit, noting that many stablecoins trade on secondary markets and may be viewed as store-of-value instruments rather than true payment tools.</w:t>
      </w:r>
    </w:p>
    <w:p w:rsidR="00000000" w:rsidDel="00000000" w:rsidP="00000000" w:rsidRDefault="00000000" w:rsidRPr="00000000" w14:paraId="0000026B">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Her procedural objection is the durability flag: she took issue with the process by which the Staff's position was issued, emphasizing that a policy change of this magnitude warrants full Commission consideration and public engagement. This is a staff statement, not a Commission-level rule — it carries the revocability risk your knowledge base treats as the core interpretive variable.</w:t>
      </w:r>
    </w:p>
    <w:p w:rsidR="00000000" w:rsidDel="00000000" w:rsidP="00000000" w:rsidRDefault="00000000" w:rsidRPr="00000000" w14:paraId="0000026C">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What the SEC Does Not Cover</w:t>
      </w:r>
    </w:p>
    <w:p w:rsidR="00000000" w:rsidDel="00000000" w:rsidP="00000000" w:rsidRDefault="00000000" w:rsidRPr="00000000" w14:paraId="0000026D">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SEC Staff statement did not cover AML obligations, as those primarily fall under Treasury and FinCEN jurisdiction. This is the structural gap where FSB and FATF guidance becomes operationally essential — the SEC has answered the securities law question for Covered Stablecoins and explicitly passed the financial integrity question to other regulators.</w:t>
      </w:r>
    </w:p>
    <w:p w:rsidR="00000000" w:rsidDel="00000000" w:rsidP="00000000" w:rsidRDefault="00000000" w:rsidRPr="00000000" w14:paraId="0000026E">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Scope Exclusions</w:t>
      </w:r>
    </w:p>
    <w:p w:rsidR="00000000" w:rsidDel="00000000" w:rsidP="00000000" w:rsidRDefault="00000000" w:rsidRPr="00000000" w14:paraId="0000026F">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Algorithmic and yield-bearing stablecoins remain outside this guidance. The inference from the staff statement is that yield-bearing stablecoins are likely securities, given their structural resemblance to money market funds and face companies subject to the Investment Company Act of 1940. Non-USD-pegged stablecoins — including euro-backed or commodity-backed variants — also fall outside the Covered Stablecoin definition entirely.</w:t>
      </w:r>
    </w:p>
    <w:p w:rsidR="00000000" w:rsidDel="00000000" w:rsidP="00000000" w:rsidRDefault="00000000" w:rsidRPr="00000000" w14:paraId="00000270">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259" w:lineRule="auto"/>
        <w:jc w:val="both"/>
        <w:rPr>
          <w:b w:val="1"/>
          <w:bCs w:val="1"/>
          <w:color w:val="000000"/>
          <w:sz w:val="26"/>
          <w:szCs w:val="26"/>
          <w:shd w:fill="f5f5f5" w:val="clear"/>
        </w:rPr>
      </w:pPr>
      <w:bookmarkStart w:colFirst="0" w:colLast="0" w:name="_s3rm0z29kytz" w:id="56"/>
      <w:bookmarkEnd w:id="56"/>
      <w:r w:rsidDel="00000000" w:rsidR="00000000" w:rsidRPr="00000000">
        <w:rPr>
          <w:b w:val="1"/>
          <w:bCs w:val="1"/>
          <w:color w:val="000000"/>
          <w:sz w:val="26"/>
          <w:szCs w:val="26"/>
          <w:shd w:fill="f5f5f5" w:val="clear"/>
          <w:rtl w:val="0"/>
        </w:rPr>
        <w:t xml:space="preserve">Layer 2: The FSB's GSC Framework and Peer Review Findings</w:t>
      </w:r>
    </w:p>
    <w:p w:rsidR="00000000" w:rsidDel="00000000" w:rsidP="00000000" w:rsidRDefault="00000000" w:rsidRPr="00000000" w14:paraId="00000272">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FSB operates from a financial stability mandate that is categorically different from the SEC's investor protection and capital markets mandate — this distinction is essential for understanding where the frameworks align and where they deliberately diverge.</w:t>
      </w:r>
    </w:p>
    <w:p w:rsidR="00000000" w:rsidDel="00000000" w:rsidP="00000000" w:rsidRDefault="00000000" w:rsidRPr="00000000" w14:paraId="00000273">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FSB's 2023 GSC Recommendations: Core Architecture</w:t>
      </w:r>
    </w:p>
    <w:p w:rsidR="00000000" w:rsidDel="00000000" w:rsidP="00000000" w:rsidRDefault="00000000" w:rsidRPr="00000000" w14:paraId="00000274">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FSB's 2023 global regulatory framework is built on the principle of "same activity, same risk, same regulation," consisting of two components: high-level recommendations for crypto-asset service providers and revised recommendations specifically for global stablecoin arrangements.</w:t>
      </w:r>
    </w:p>
    <w:p w:rsidR="00000000" w:rsidDel="00000000" w:rsidP="00000000" w:rsidRDefault="00000000" w:rsidRPr="00000000" w14:paraId="00000275">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GSC recommendations establish five core requirements: authorities should have comprehensive powers to regulate, supervise, and oversee GSC arrangements; apply comprehensive requirements on a functional basis proportionate to risk; cooperate and coordinate cross-border; and maintain comprehensive oversight of all GSC activities and functions. Critically, the FSB framework explicitly treats a stablecoin with potential reach across multiple jurisdictions as a GSC requiring elevated oversight — scale and cross-border reach are threshold determinants, not just asset backing.</w:t>
      </w:r>
    </w:p>
    <w:p w:rsidR="00000000" w:rsidDel="00000000" w:rsidP="00000000" w:rsidRDefault="00000000" w:rsidRPr="00000000" w14:paraId="00000276">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October 2025 Peer Review: Implementation Gap Assessment</w:t>
      </w:r>
    </w:p>
    <w:p w:rsidR="00000000" w:rsidDel="00000000" w:rsidP="00000000" w:rsidRDefault="00000000" w:rsidRPr="00000000" w14:paraId="00000277">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FSB's October 2025 thematic peer review found that as of August 2025, jurisdictions have made progress in regulating crypto-asset activities and to a lesser extent global stablecoin arrangements — but the review reveals significant gaps and inconsistencies that could pose risks to financial stability.</w:t>
      </w:r>
    </w:p>
    <w:p w:rsidR="00000000" w:rsidDel="00000000" w:rsidP="00000000" w:rsidRDefault="00000000" w:rsidRPr="00000000" w14:paraId="00000278">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GSC implementation gap is notably worse than the general CASP gap. Of 28 jurisdictions assessed, 11 have reached the final stage and finalized regulatory frameworks for CASPs — but the implementation gap widens substantially when examining stablecoin regulation. The FSB specifically called out three critical deficiencies: insufficient requirements for robust risk management practices, capital buffers, and recovery and resolution planning including insolvency frameworks; variations across jurisdictions in redemption and custody requirements; and the timing and details of disclosures as well as reserve collateralization frameworks posing particular regulatory challenges for stablecoin arrangements operating across multiple jurisdictions.</w:t>
      </w:r>
    </w:p>
    <w:p w:rsidR="00000000" w:rsidDel="00000000" w:rsidP="00000000" w:rsidRDefault="00000000" w:rsidRPr="00000000" w14:paraId="00000279">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Where the US/SEC Position Fits in the FSB Assessment</w:t>
      </w:r>
    </w:p>
    <w:p w:rsidR="00000000" w:rsidDel="00000000" w:rsidP="00000000" w:rsidRDefault="00000000" w:rsidRPr="00000000" w14:paraId="0000027A">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FSB peer review explicitly referenced the GENIUS Act as a significant US development: the review cites the Guiding and Establishing National Innovation for US Stablecoins Act of 2025 as part of the US regulatory context. The FSB's assessment of the US position is that the GENIUS Act represents movement toward the GSC framework's requirements on reserve composition and redemption rights — but the SEC's staff statement, by removing Covered Stablecoins from the securities perimeter, effectively means the US regulatory response to GSC financial stability risks runs entirely through the banking regulatory channel (OCC, Fed, FDIC) rather than the capital markets channel the FSB assumed would play a role.</w:t>
      </w:r>
    </w:p>
    <w:p w:rsidR="00000000" w:rsidDel="00000000" w:rsidP="00000000" w:rsidRDefault="00000000" w:rsidRPr="00000000" w14:paraId="0000027B">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This creates a structural alignment question: the FSB's GSC framework is neutral on which domestic regulator handles oversight, but it requires </w:t>
      </w:r>
      <w:r w:rsidDel="00000000" w:rsidR="00000000" w:rsidRPr="00000000">
        <w:rPr>
          <w:i w:val="1"/>
          <w:iCs w:val="1"/>
          <w:sz w:val="21"/>
          <w:szCs w:val="21"/>
          <w:shd w:fill="f5f5f5" w:val="clear"/>
          <w:rtl w:val="0"/>
        </w:rPr>
        <w:t xml:space="preserve">comprehensive</w:t>
      </w:r>
      <w:r w:rsidDel="00000000" w:rsidR="00000000" w:rsidRPr="00000000">
        <w:rPr>
          <w:sz w:val="21"/>
          <w:szCs w:val="21"/>
          <w:shd w:fill="f5f5f5" w:val="clear"/>
          <w:rtl w:val="0"/>
        </w:rPr>
        <w:t xml:space="preserve"> coverage. The US post-GENIUS Act regime covers reserve composition and insolvency priority for payment stablecoins — but the SEC statement's explicit non-coverage of AML, the GENIUS Act's explicit exclusion of algorithmic stablecoins, and the absence of yield-bearing stablecoin guidance collectively mean the US does not yet have the comprehensive GSC framework the FSB recommends.</w:t>
      </w:r>
    </w:p>
    <w:p w:rsidR="00000000" w:rsidDel="00000000" w:rsidP="00000000" w:rsidRDefault="00000000" w:rsidRPr="00000000" w14:paraId="0000027C">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spacing w:before="280" w:line="259" w:lineRule="auto"/>
        <w:jc w:val="both"/>
        <w:rPr>
          <w:b w:val="1"/>
          <w:bCs w:val="1"/>
          <w:color w:val="000000"/>
          <w:sz w:val="26"/>
          <w:szCs w:val="26"/>
          <w:shd w:fill="f5f5f5" w:val="clear"/>
        </w:rPr>
      </w:pPr>
      <w:bookmarkStart w:colFirst="0" w:colLast="0" w:name="_inausyc0wwf0" w:id="57"/>
      <w:bookmarkEnd w:id="57"/>
      <w:r w:rsidDel="00000000" w:rsidR="00000000" w:rsidRPr="00000000">
        <w:rPr>
          <w:b w:val="1"/>
          <w:bCs w:val="1"/>
          <w:color w:val="000000"/>
          <w:sz w:val="26"/>
          <w:szCs w:val="26"/>
          <w:shd w:fill="f5f5f5" w:val="clear"/>
          <w:rtl w:val="0"/>
        </w:rPr>
        <w:t xml:space="preserve">Layer 3: FATF's Standards and the Financial Integrity Gap</w:t>
      </w:r>
    </w:p>
    <w:p w:rsidR="00000000" w:rsidDel="00000000" w:rsidP="00000000" w:rsidRDefault="00000000" w:rsidRPr="00000000" w14:paraId="0000027E">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FATF operates entirely outside the securities law frame — its mandate is AML/CFT, and its standards apply to Virtual Asset Service Providers (VASPs) regardless of whether the assets they handle are securities.</w:t>
      </w:r>
    </w:p>
    <w:p w:rsidR="00000000" w:rsidDel="00000000" w:rsidP="00000000" w:rsidRDefault="00000000" w:rsidRPr="00000000" w14:paraId="0000027F">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Current Compliance State</w:t>
      </w:r>
    </w:p>
    <w:p w:rsidR="00000000" w:rsidDel="00000000" w:rsidP="00000000" w:rsidRDefault="00000000" w:rsidRPr="00000000" w14:paraId="00000280">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FATF's June 2025 sixth targeted update found that the use of stablecoins by illicit actors — including DPRK actors, terrorist financiers, and drug traffickers — has continued to increase since the 2024 update, and most on-chain illicit activity now involves stablecoins. The specific numbers are stark: the DPRK carried out the largest single VA theft in history, stealing $1.46 billion from the VASP ByBit, with only 3.8% of stolen funds recovered — and there was approximately $51 billion in illicit on-chain activity relating to fraud and scams in 2024.</w:t>
      </w:r>
    </w:p>
    <w:p w:rsidR="00000000" w:rsidDel="00000000" w:rsidP="00000000" w:rsidRDefault="00000000" w:rsidRPr="00000000" w14:paraId="00000281">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Travel Rule Implementation Status</w:t>
      </w:r>
    </w:p>
    <w:p w:rsidR="00000000" w:rsidDel="00000000" w:rsidP="00000000" w:rsidRDefault="00000000" w:rsidRPr="00000000" w14:paraId="00000282">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For the 2025 survey, 73% of respondents — 85 of 117 jurisdictions — have passed legislation to implement the Travel Rule, showing progress from prior years. However, the US implementation of the Travel Rule for crypto remains through FinCEN's Bank Secrecy Act framework for registered Money Services Businesses — a regime that does not map cleanly onto FATF's VASP definition or cover unhosted wallet transactions.</w:t>
      </w:r>
    </w:p>
    <w:p w:rsidR="00000000" w:rsidDel="00000000" w:rsidP="00000000" w:rsidRDefault="00000000" w:rsidRPr="00000000" w14:paraId="00000283">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Stablecoin-Specific FATF Gap</w:t>
      </w:r>
    </w:p>
    <w:p w:rsidR="00000000" w:rsidDel="00000000" w:rsidP="00000000" w:rsidRDefault="00000000" w:rsidRPr="00000000" w14:paraId="00000284">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FATF treats stablecoins as a category requiring heightened attention within its VASP framework. The key alignment issue with the SEC's Covered Stablecoin position: the SEC's non-securities determination has no bearing on FATF's requirements. A stablecoin that is not a security under SEC guidance is still a virtual asset under FATF's framework, and its issuer is still a VASP subject to AML/CFT registration, Travel Rule compliance, and supervisory inspection requirements.</w:t>
      </w:r>
    </w:p>
    <w:p w:rsidR="00000000" w:rsidDel="00000000" w:rsidP="00000000" w:rsidRDefault="00000000" w:rsidRPr="00000000" w14:paraId="00000285">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operational consequence: US-based stablecoin issuers typically register as Money Services Businesses and implement AML/KYC programs — but the rigor of compliance can vary, especially for offshore issuers and in decentralized contexts, with unhosted wallet transfers and foreign issuers not subject to US rules creating avenues for evading sanctions or laundering funds.</w:t>
      </w:r>
    </w:p>
    <w:p w:rsidR="00000000" w:rsidDel="00000000" w:rsidP="00000000" w:rsidRDefault="00000000" w:rsidRPr="00000000" w14:paraId="00000286">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259" w:lineRule="auto"/>
        <w:jc w:val="both"/>
        <w:rPr>
          <w:b w:val="1"/>
          <w:bCs w:val="1"/>
          <w:color w:val="000000"/>
          <w:sz w:val="26"/>
          <w:szCs w:val="26"/>
          <w:shd w:fill="f5f5f5" w:val="clear"/>
        </w:rPr>
      </w:pPr>
      <w:bookmarkStart w:colFirst="0" w:colLast="0" w:name="_npa1xwi5gi3p" w:id="58"/>
      <w:bookmarkEnd w:id="58"/>
      <w:r w:rsidDel="00000000" w:rsidR="00000000" w:rsidRPr="00000000">
        <w:rPr>
          <w:b w:val="1"/>
          <w:bCs w:val="1"/>
          <w:color w:val="000000"/>
          <w:sz w:val="26"/>
          <w:szCs w:val="26"/>
          <w:shd w:fill="f5f5f5" w:val="clear"/>
          <w:rtl w:val="0"/>
        </w:rPr>
        <w:t xml:space="preserve">The Three-Way Alignment Map: Where Frameworks Converge and Diverge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4804177545693"/>
        <w:gridCol w:w="2526.9556135770235"/>
        <w:gridCol w:w="2482.9660574412533"/>
        <w:gridCol w:w="2629.5979112271543"/>
        <w:tblGridChange w:id="0">
          <w:tblGrid>
            <w:gridCol w:w="1720.4804177545693"/>
            <w:gridCol w:w="2526.9556135770235"/>
            <w:gridCol w:w="2482.9660574412533"/>
            <w:gridCol w:w="2629.59791122715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259" w:lineRule="auto"/>
              <w:jc w:val="center"/>
              <w:rPr>
                <w:sz w:val="21"/>
                <w:szCs w:val="21"/>
                <w:shd w:fill="f5f5f5" w:val="clear"/>
              </w:rPr>
            </w:pPr>
            <w:r w:rsidDel="00000000" w:rsidR="00000000" w:rsidRPr="00000000">
              <w:rPr>
                <w:b w:val="1"/>
                <w:bCs w:val="1"/>
                <w:sz w:val="21"/>
                <w:szCs w:val="21"/>
                <w:shd w:fill="f5f5f5" w:val="clear"/>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259" w:lineRule="auto"/>
              <w:jc w:val="center"/>
              <w:rPr>
                <w:sz w:val="21"/>
                <w:szCs w:val="21"/>
                <w:shd w:fill="f5f5f5" w:val="clear"/>
              </w:rPr>
            </w:pPr>
            <w:r w:rsidDel="00000000" w:rsidR="00000000" w:rsidRPr="00000000">
              <w:rPr>
                <w:b w:val="1"/>
                <w:bCs w:val="1"/>
                <w:sz w:val="21"/>
                <w:szCs w:val="21"/>
                <w:shd w:fill="f5f5f5" w:val="clear"/>
                <w:rtl w:val="0"/>
              </w:rPr>
              <w:t xml:space="preserve">SEC 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259" w:lineRule="auto"/>
              <w:jc w:val="center"/>
              <w:rPr>
                <w:sz w:val="21"/>
                <w:szCs w:val="21"/>
                <w:shd w:fill="f5f5f5" w:val="clear"/>
              </w:rPr>
            </w:pPr>
            <w:r w:rsidDel="00000000" w:rsidR="00000000" w:rsidRPr="00000000">
              <w:rPr>
                <w:b w:val="1"/>
                <w:bCs w:val="1"/>
                <w:sz w:val="21"/>
                <w:szCs w:val="21"/>
                <w:shd w:fill="f5f5f5" w:val="clear"/>
                <w:rtl w:val="0"/>
              </w:rPr>
              <w:t xml:space="preserve">FSB GSC Framework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259" w:lineRule="auto"/>
              <w:jc w:val="center"/>
              <w:rPr>
                <w:sz w:val="21"/>
                <w:szCs w:val="21"/>
                <w:shd w:fill="f5f5f5" w:val="clear"/>
              </w:rPr>
            </w:pPr>
            <w:r w:rsidDel="00000000" w:rsidR="00000000" w:rsidRPr="00000000">
              <w:rPr>
                <w:b w:val="1"/>
                <w:bCs w:val="1"/>
                <w:sz w:val="21"/>
                <w:szCs w:val="21"/>
                <w:shd w:fill="f5f5f5" w:val="clear"/>
                <w:rtl w:val="0"/>
              </w:rPr>
              <w:t xml:space="preserve">FATF Standards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Reserve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1:1 USD/liquid assets required for Covered Stablecoins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Robust reserve management required; capital buffers recommended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Not directly addressed (financial integrity focus)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Algorithmic stablecoins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Excluded from guidance; likely securities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Explicitly excluded from GSC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Covered as VAs; AML/CFT obligations apply regardless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Yield-bearing stablecoins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Likely securities under Howey/ICA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In scope as GSCs if cross-border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Covered as VAs; AML/CFT obligations apply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Cross-border coordination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Not addressed (domestic jurisdiction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Core requirement; fragmented implementation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Travel Rule as primary coordination mechanism; 73% implementation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Redemption rights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Issuer must stand ready for 1:1 redemption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All users must have confidence in timely par redemption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Not directly addressed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AML/CFT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Explicitly outside SEC's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Referenced but secondary to financial stability mandate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Primary mandate; Recommendation 15/16 apply to all VASPs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Foreign issuers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GENIUS Act restricts US distribution; SEC non-securities view applies to domestic Covered Stablecoins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Requires host jurisdiction oversight of all GSCs operating domestically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Must register as VASPs; offshore evasion flagged as critical gap</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DeFi stablecoins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Decentralized stablecoins meeting Covered Stablecoin criteria also outside securities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Functional oversight required regardless of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51% of advanced jurisdictions have not applied AML/CFT to DeFi; FATF monitoring</w:t>
            </w:r>
          </w:p>
        </w:tc>
      </w:tr>
    </w:tbl>
    <w:p w:rsidR="00000000" w:rsidDel="00000000" w:rsidP="00000000" w:rsidRDefault="00000000" w:rsidRPr="00000000" w14:paraId="000002AC">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259" w:lineRule="auto"/>
        <w:jc w:val="both"/>
        <w:rPr>
          <w:b w:val="1"/>
          <w:bCs w:val="1"/>
          <w:color w:val="000000"/>
          <w:sz w:val="26"/>
          <w:szCs w:val="26"/>
          <w:shd w:fill="f5f5f5" w:val="clear"/>
        </w:rPr>
      </w:pPr>
      <w:bookmarkStart w:colFirst="0" w:colLast="0" w:name="_exq73hlbru7d" w:id="59"/>
      <w:bookmarkEnd w:id="59"/>
      <w:r w:rsidDel="00000000" w:rsidR="00000000" w:rsidRPr="00000000">
        <w:rPr>
          <w:b w:val="1"/>
          <w:bCs w:val="1"/>
          <w:color w:val="000000"/>
          <w:sz w:val="26"/>
          <w:szCs w:val="26"/>
          <w:shd w:fill="f5f5f5" w:val="clear"/>
          <w:rtl w:val="0"/>
        </w:rPr>
        <w:t xml:space="preserve">CRI Intelligence Product Implications</w:t>
      </w:r>
    </w:p>
    <w:p w:rsidR="00000000" w:rsidDel="00000000" w:rsidP="00000000" w:rsidRDefault="00000000" w:rsidRPr="00000000" w14:paraId="000002AE">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Three specific gaps in the three-way alignment map are high-value intelligence products:</w:t>
      </w:r>
    </w:p>
    <w:p w:rsidR="00000000" w:rsidDel="00000000" w:rsidP="00000000" w:rsidRDefault="00000000" w:rsidRPr="00000000" w14:paraId="000002AF">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Gap 1: The AML Handoff Problem</w:t>
      </w:r>
      <w:r w:rsidDel="00000000" w:rsidR="00000000" w:rsidRPr="00000000">
        <w:rPr>
          <w:sz w:val="21"/>
          <w:szCs w:val="21"/>
          <w:shd w:fill="f5f5f5" w:val="clear"/>
          <w:rtl w:val="0"/>
        </w:rPr>
        <w:t xml:space="preserve"> The SEC's April 2025 statement explicitly hands off AML oversight to FinCEN/Treasury, but the GENIUS Act effective date is January 2027 and implementing regulations are pending. Between now and then, Covered Stablecoin issuers operating without full GENIUS Act compliance live in a regime where the SEC has disclaimed jurisdiction but the banking regulatory framework hasn't yet formally assumed it. Compliance teams at broker-dealers holding stablecoins need a current-state map of which regulator owns which obligation — this is a direct CRI deliverable.</w:t>
      </w:r>
    </w:p>
    <w:p w:rsidR="00000000" w:rsidDel="00000000" w:rsidP="00000000" w:rsidRDefault="00000000" w:rsidRPr="00000000" w14:paraId="000002B0">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Gap 2: Offshore Issuer Exposure Under GENIUS Act + FATF</w:t>
      </w:r>
      <w:r w:rsidDel="00000000" w:rsidR="00000000" w:rsidRPr="00000000">
        <w:rPr>
          <w:sz w:val="21"/>
          <w:szCs w:val="21"/>
          <w:shd w:fill="f5f5f5" w:val="clear"/>
          <w:rtl w:val="0"/>
        </w:rPr>
        <w:t xml:space="preserve"> MiCA does not include mutual recognition provisions — meaning multi-issuance would be the only possible route to interoperability between the US and EU regimes. Foreign-issued stablecoins (including MiCA-compliant EUR stablecoins and non-compliant USDT) face restricted US distribution under GENIUS Act, no SEC non-securities safe harbor, and continuing FATF AML/CFT obligations through the VASP framework. The compliance map for a multi-jurisdiction stablecoin operator has three separate regulatory overlays with no mutual recognition mechanism — and your clients in custody and asset management are exposed to this if they hold or intermediate foreign-issued stablecoins.</w:t>
      </w:r>
    </w:p>
    <w:p w:rsidR="00000000" w:rsidDel="00000000" w:rsidP="00000000" w:rsidRDefault="00000000" w:rsidRPr="00000000" w14:paraId="000002B1">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Gap 3: The Yield-Bearing Gap as the Next Regulatory Frontier</w:t>
      </w:r>
      <w:r w:rsidDel="00000000" w:rsidR="00000000" w:rsidRPr="00000000">
        <w:rPr>
          <w:sz w:val="21"/>
          <w:szCs w:val="21"/>
          <w:shd w:fill="f5f5f5" w:val="clear"/>
          <w:rtl w:val="0"/>
        </w:rPr>
        <w:t xml:space="preserve"> The SEC's Covered Stablecoin guidance explicitly excludes yield-bearing stablecoins, implying they are securities or subject to the Investment Company Act. The FSB treats them as GSCs requiring comprehensive oversight. FATF treats them as VAs subject to AML/CFT. No US regulatory framework currently addresses them comprehensively. This is the 2026 staking guidance gap analog for stablecoins — and given that yield-bearing stablecoins are a primary competitive product in the current market, the intelligence value of tracking when and how this gap closes is high.</w:t>
      </w:r>
    </w:p>
    <w:p w:rsidR="00000000" w:rsidDel="00000000" w:rsidP="00000000" w:rsidRDefault="00000000" w:rsidRPr="00000000" w14:paraId="000002B2">
      <w:pPr>
        <w:spacing w:after="240" w:before="240" w:line="259" w:lineRule="auto"/>
        <w:jc w:val="both"/>
        <w:rPr>
          <w:sz w:val="21"/>
          <w:szCs w:val="21"/>
          <w:shd w:fill="f5f5f5" w:val="clear"/>
        </w:rPr>
      </w:pPr>
      <w:r w:rsidDel="00000000" w:rsidR="00000000" w:rsidRPr="00000000">
        <w:rPr>
          <w:rtl w:val="0"/>
        </w:rPr>
      </w:r>
    </w:p>
    <w:p w:rsidR="00000000" w:rsidDel="00000000" w:rsidP="00000000" w:rsidRDefault="00000000" w:rsidRPr="00000000" w14:paraId="000002B3">
      <w:pPr>
        <w:spacing w:after="240" w:before="240" w:line="259" w:lineRule="auto"/>
        <w:jc w:val="both"/>
        <w:rPr>
          <w:b w:val="1"/>
          <w:bCs w:val="1"/>
          <w:sz w:val="24"/>
          <w:szCs w:val="24"/>
          <w:highlight w:val="green"/>
        </w:rPr>
      </w:pPr>
      <w:r w:rsidDel="00000000" w:rsidR="00000000" w:rsidRPr="00000000">
        <w:rPr>
          <w:b w:val="1"/>
          <w:bCs w:val="1"/>
          <w:sz w:val="24"/>
          <w:szCs w:val="24"/>
          <w:highlight w:val="green"/>
          <w:rtl w:val="0"/>
        </w:rPr>
        <w:t xml:space="preserve">Question 6: </w:t>
      </w:r>
    </w:p>
    <w:p w:rsidR="00000000" w:rsidDel="00000000" w:rsidP="00000000" w:rsidRDefault="00000000" w:rsidRPr="00000000" w14:paraId="000002B4">
      <w:pPr>
        <w:spacing w:after="160" w:line="259" w:lineRule="auto"/>
        <w:rPr>
          <w:b w:val="1"/>
          <w:bCs w:val="1"/>
          <w:sz w:val="24"/>
          <w:szCs w:val="24"/>
          <w:highlight w:val="green"/>
        </w:rPr>
      </w:pPr>
      <w:r w:rsidDel="00000000" w:rsidR="00000000" w:rsidRPr="00000000">
        <w:rPr>
          <w:rFonts w:ascii="Calibri" w:cs="Calibri" w:eastAsia="Calibri" w:hAnsi="Calibri"/>
          <w:b w:val="1"/>
          <w:bCs w:val="1"/>
          <w:sz w:val="24"/>
          <w:szCs w:val="24"/>
          <w:highlight w:val="green"/>
          <w:rtl w:val="0"/>
        </w:rPr>
        <w:t xml:space="preserve">Can the system identify SEC policy levers that could serve as regulatory proxies—such as governance token control, front-end regulation, or fiat on/off-ramp oversight?</w:t>
      </w:r>
      <w:r w:rsidDel="00000000" w:rsidR="00000000" w:rsidRPr="00000000">
        <w:rPr>
          <w:rtl w:val="0"/>
        </w:rPr>
      </w:r>
    </w:p>
    <w:p w:rsidR="00000000" w:rsidDel="00000000" w:rsidP="00000000" w:rsidRDefault="00000000" w:rsidRPr="00000000" w14:paraId="000002B5">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CRI</w:t>
      </w:r>
    </w:p>
    <w:p w:rsidR="00000000" w:rsidDel="00000000" w:rsidP="00000000" w:rsidRDefault="00000000" w:rsidRPr="00000000" w14:paraId="000002B6">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Short answer: Yes. I can identify SEC policy levers that could operate as regulatory proxies for crypto activity (e.g., governance-token controls, front‑end / wallet/app controls, and fiat on/off‑ramp oversight), and I can back each lever with SEC documents, task‑force memoranda, and staff statements. Below I map candidate levers to the legal/operational mechanism, practical uses, and SEC evidence (including relevance scores and snippets) so you can see the legal and factual grounding.</w:t>
      </w:r>
    </w:p>
    <w:p w:rsidR="00000000" w:rsidDel="00000000" w:rsidP="00000000" w:rsidRDefault="00000000" w:rsidRPr="00000000" w14:paraId="000002B7">
      <w:pPr>
        <w:numPr>
          <w:ilvl w:val="0"/>
          <w:numId w:val="76"/>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1"/>
          <w:szCs w:val="21"/>
          <w:shd w:fill="f5f5f5" w:val="clear"/>
        </w:rPr>
      </w:pPr>
      <w:r w:rsidDel="00000000" w:rsidR="00000000" w:rsidRPr="00000000">
        <w:rPr>
          <w:sz w:val="21"/>
          <w:szCs w:val="21"/>
          <w:shd w:fill="f5f5f5" w:val="clear"/>
          <w:rtl w:val="0"/>
        </w:rPr>
        <w:t xml:space="preserve">Governance‑token controls (token design, transfer mechanics, governance rights)</w:t>
      </w:r>
    </w:p>
    <w:p w:rsidR="00000000" w:rsidDel="00000000" w:rsidP="00000000" w:rsidRDefault="00000000" w:rsidRPr="00000000" w14:paraId="000002B8">
      <w:pPr>
        <w:numPr>
          <w:ilvl w:val="0"/>
          <w:numId w:val="5"/>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What the SEC can use it for:</w:t>
      </w:r>
    </w:p>
    <w:p w:rsidR="00000000" w:rsidDel="00000000" w:rsidP="00000000" w:rsidRDefault="00000000" w:rsidRPr="00000000" w14:paraId="000002B9">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Treat token economics/governance rights as indicia of a securities investment contract (Howey elements), or require issuer controls (transfer restrictions, vesting, disclosure) to limit securities‑law exposure.</w:t>
      </w:r>
    </w:p>
    <w:p w:rsidR="00000000" w:rsidDel="00000000" w:rsidP="00000000" w:rsidRDefault="00000000" w:rsidRPr="00000000" w14:paraId="000002BA">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Condition relief (no‑action/exemptive) on particular on‑chain governance design (e.g., decentralization thresholds; irrevocable custody; issuer lockups).</w:t>
      </w:r>
    </w:p>
    <w:p w:rsidR="00000000" w:rsidDel="00000000" w:rsidP="00000000" w:rsidRDefault="00000000" w:rsidRPr="00000000" w14:paraId="000002BB">
      <w:pPr>
        <w:numPr>
          <w:ilvl w:val="0"/>
          <w:numId w:val="5"/>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Practical regulatory tools:</w:t>
      </w:r>
    </w:p>
    <w:p w:rsidR="00000000" w:rsidDel="00000000" w:rsidP="00000000" w:rsidRDefault="00000000" w:rsidRPr="00000000" w14:paraId="000002BC">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Enforcement and litigation applying Howey/DAO precedents; staff guidance clarifying when governance rights create “expectation of profit” or reliance on managerial efforts.</w:t>
      </w:r>
    </w:p>
    <w:p w:rsidR="00000000" w:rsidDel="00000000" w:rsidP="00000000" w:rsidRDefault="00000000" w:rsidRPr="00000000" w14:paraId="000002BD">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Use of exemptive/no‑action letters or safe‑harbors that require programmatic controls (vesting, on‑chain restrictions).</w:t>
      </w:r>
    </w:p>
    <w:p w:rsidR="00000000" w:rsidDel="00000000" w:rsidP="00000000" w:rsidRDefault="00000000" w:rsidRPr="00000000" w14:paraId="000002BE">
      <w:pPr>
        <w:numPr>
          <w:ilvl w:val="0"/>
          <w:numId w:val="5"/>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Evidence:</w:t>
      </w:r>
    </w:p>
    <w:p w:rsidR="00000000" w:rsidDel="00000000" w:rsidP="00000000" w:rsidRDefault="00000000" w:rsidRPr="00000000" w14:paraId="000002BF">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DAO Report / Howey framework context — DLT Framework references DAO Report and Howey as guidance: Relevance Score 9.45. Snippet: “See, e.g., Report of Investigation … The DAO (July 25, 2017) … Framework for ‘Investment Contract’ Analysis of Digital Assets.” (source: DLT framework, </w:t>
      </w:r>
      <w:hyperlink r:id="rId75">
        <w:r w:rsidDel="00000000" w:rsidR="00000000" w:rsidRPr="00000000">
          <w:rPr>
            <w:sz w:val="21"/>
            <w:szCs w:val="21"/>
            <w:u w:val="single"/>
            <w:shd w:fill="f5f5f5" w:val="clear"/>
            <w:rtl w:val="0"/>
          </w:rPr>
          <w:t xml:space="preserve">https://www.sec.gov/files/dlt-framework.pdf</w:t>
        </w:r>
      </w:hyperlink>
      <w:r w:rsidDel="00000000" w:rsidR="00000000" w:rsidRPr="00000000">
        <w:rPr>
          <w:sz w:val="21"/>
          <w:szCs w:val="21"/>
          <w:shd w:fill="f5f5f5" w:val="clear"/>
          <w:rtl w:val="0"/>
        </w:rPr>
        <w:t xml:space="preserve">)</w:t>
      </w:r>
    </w:p>
    <w:p w:rsidR="00000000" w:rsidDel="00000000" w:rsidP="00000000" w:rsidRDefault="00000000" w:rsidRPr="00000000" w14:paraId="000002C0">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Howey/Hinman discussion and staff framework: Relevance Score 12.99. Snippet: “Digital Asset Transactions: When Howey Met Gary (Plastic)… a better line of inquiry is: ‘Can a digital asset that was originally offered in a securities offering ever be later sold in a manner that does not constitute an offering of a security?’” (Hinman speech, </w:t>
      </w:r>
      <w:hyperlink r:id="rId76">
        <w:r w:rsidDel="00000000" w:rsidR="00000000" w:rsidRPr="00000000">
          <w:rPr>
            <w:sz w:val="21"/>
            <w:szCs w:val="21"/>
            <w:u w:val="single"/>
            <w:shd w:fill="f5f5f5" w:val="clear"/>
            <w:rtl w:val="0"/>
          </w:rPr>
          <w:t xml:space="preserve">https://www.sec.gov/newsroom/speeches-statements/speech-hinman-061418</w:t>
        </w:r>
      </w:hyperlink>
      <w:r w:rsidDel="00000000" w:rsidR="00000000" w:rsidRPr="00000000">
        <w:rPr>
          <w:sz w:val="21"/>
          <w:szCs w:val="21"/>
          <w:shd w:fill="f5f5f5" w:val="clear"/>
          <w:rtl w:val="0"/>
        </w:rPr>
        <w:t xml:space="preserve">)</w:t>
      </w:r>
    </w:p>
    <w:p w:rsidR="00000000" w:rsidDel="00000000" w:rsidP="00000000" w:rsidRDefault="00000000" w:rsidRPr="00000000" w14:paraId="000002C1">
      <w:pPr>
        <w:numPr>
          <w:ilvl w:val="1"/>
          <w:numId w:val="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Industry submissions (token design positions and calls for clarity): Lido Labs RFI input arguing token utility vs. security: Relevance Score 10.67. Snippet: “Liquid staking tokens … do not constitute a ‘security’ under a Howey analysis … action by the Commission to address and provide legal certainty … would be welcomed.” (task-force-204, </w:t>
      </w:r>
      <w:hyperlink r:id="rId77">
        <w:r w:rsidDel="00000000" w:rsidR="00000000" w:rsidRPr="00000000">
          <w:rPr>
            <w:sz w:val="21"/>
            <w:szCs w:val="21"/>
            <w:u w:val="single"/>
            <w:shd w:fill="f5f5f5" w:val="clear"/>
            <w:rtl w:val="0"/>
          </w:rPr>
          <w:t xml:space="preserve">https://www.sec.gov/files/ctf-input-lido-labs-foundation-3-24-25.pdf</w:t>
        </w:r>
      </w:hyperlink>
      <w:r w:rsidDel="00000000" w:rsidR="00000000" w:rsidRPr="00000000">
        <w:rPr>
          <w:sz w:val="21"/>
          <w:szCs w:val="21"/>
          <w:shd w:fill="f5f5f5" w:val="clear"/>
          <w:rtl w:val="0"/>
        </w:rPr>
        <w:t xml:space="preserve">)</w:t>
      </w:r>
    </w:p>
    <w:p w:rsidR="00000000" w:rsidDel="00000000" w:rsidP="00000000" w:rsidRDefault="00000000" w:rsidRPr="00000000" w14:paraId="000002C2">
      <w:pPr>
        <w:numPr>
          <w:ilvl w:val="0"/>
          <w:numId w:val="8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Front‑end / wallet / app‑interface regulation (UI, app stores, built‑in swaps)</w:t>
      </w:r>
    </w:p>
    <w:p w:rsidR="00000000" w:rsidDel="00000000" w:rsidP="00000000" w:rsidRDefault="00000000" w:rsidRPr="00000000" w14:paraId="000002C3">
      <w:pPr>
        <w:numPr>
          <w:ilvl w:val="0"/>
          <w:numId w:val="4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What the SEC can use it for:</w:t>
      </w:r>
    </w:p>
    <w:p w:rsidR="00000000" w:rsidDel="00000000" w:rsidP="00000000" w:rsidRDefault="00000000" w:rsidRPr="00000000" w14:paraId="000002C4">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Target front‑end actors (wallet providers, hosted UIs, marketplaces) for broker/dealer or solicitation rules where their functionality rises above “passive software” to active facilitation (routing, order execution, custody, earning fees).</w:t>
      </w:r>
    </w:p>
    <w:p w:rsidR="00000000" w:rsidDel="00000000" w:rsidP="00000000" w:rsidRDefault="00000000" w:rsidRPr="00000000" w14:paraId="000002C5">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Use enforcement or staff guidance to define which UI behaviors (routing, order‑matching, transaction‑based compensation combined with facilitation) trigger broker/dealer obligations.</w:t>
      </w:r>
    </w:p>
    <w:p w:rsidR="00000000" w:rsidDel="00000000" w:rsidP="00000000" w:rsidRDefault="00000000" w:rsidRPr="00000000" w14:paraId="000002C6">
      <w:pPr>
        <w:numPr>
          <w:ilvl w:val="0"/>
          <w:numId w:val="4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Practical regulatory tools:</w:t>
      </w:r>
    </w:p>
    <w:p w:rsidR="00000000" w:rsidDel="00000000" w:rsidP="00000000" w:rsidRDefault="00000000" w:rsidRPr="00000000" w14:paraId="000002C7">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Enforcement actions (alleging unregistered broker activity), staff memos, and guidance; no‑action/exemptive relief tailored to neutral wallets.</w:t>
      </w:r>
    </w:p>
    <w:p w:rsidR="00000000" w:rsidDel="00000000" w:rsidP="00000000" w:rsidRDefault="00000000" w:rsidRPr="00000000" w14:paraId="000002C8">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Interagency coordination or cooperation with FINRA about platform conduct; supervisory exams focused on wallet features.</w:t>
      </w:r>
    </w:p>
    <w:p w:rsidR="00000000" w:rsidDel="00000000" w:rsidP="00000000" w:rsidRDefault="00000000" w:rsidRPr="00000000" w14:paraId="000002C9">
      <w:pPr>
        <w:numPr>
          <w:ilvl w:val="0"/>
          <w:numId w:val="40"/>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Evidence:</w:t>
      </w:r>
    </w:p>
    <w:p w:rsidR="00000000" w:rsidDel="00000000" w:rsidP="00000000" w:rsidRDefault="00000000" w:rsidRPr="00000000" w14:paraId="000002CA">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SEC Task Force memo on Coinbase Wallet litigation and wallets: Relevance Score 8.97. Snippet: “A federal court … determined the SEC failed to sufficiently allege that Coinbase acted as a broker with respect to its wallet application … the wallet’s function of linking users to third‑party DEXs did not equate to providing investment recommendations or facilitating securities transactions.” (crypto task force memo, </w:t>
      </w:r>
      <w:hyperlink r:id="rId78">
        <w:r w:rsidDel="00000000" w:rsidR="00000000" w:rsidRPr="00000000">
          <w:rPr>
            <w:sz w:val="21"/>
            <w:szCs w:val="21"/>
            <w:u w:val="single"/>
            <w:shd w:fill="f5f5f5" w:val="clear"/>
            <w:rtl w:val="0"/>
          </w:rPr>
          <w:t xml:space="preserve">https://www.sec.gov/files/ctf-memo-phantom-technologies-inc-bgr-group-wilmer-cutler-pickering-hale-dorr-070225.pdf</w:t>
        </w:r>
      </w:hyperlink>
      <w:r w:rsidDel="00000000" w:rsidR="00000000" w:rsidRPr="00000000">
        <w:rPr>
          <w:sz w:val="21"/>
          <w:szCs w:val="21"/>
          <w:shd w:fill="f5f5f5" w:val="clear"/>
          <w:rtl w:val="0"/>
        </w:rPr>
        <w:t xml:space="preserve">)</w:t>
      </w:r>
    </w:p>
    <w:p w:rsidR="00000000" w:rsidDel="00000000" w:rsidP="00000000" w:rsidRDefault="00000000" w:rsidRPr="00000000" w14:paraId="000002CB">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Industry letters urging clarity for non‑custodial wallets and neutral interfaces: Relevance Score 8.56. Snippet: “We agree that it is critical to identify when … wallet providers that support tokenized securities are engaged in activities that require registration as a broker or dealer… concerned that potential misconceptions exist concerning non‑custodial wallets and neutral user interfaces.” (Solana Policy Institute/DeFi Education Fund letter, </w:t>
      </w:r>
      <w:hyperlink r:id="rId79">
        <w:r w:rsidDel="00000000" w:rsidR="00000000" w:rsidRPr="00000000">
          <w:rPr>
            <w:sz w:val="21"/>
            <w:szCs w:val="21"/>
            <w:u w:val="single"/>
            <w:shd w:fill="f5f5f5" w:val="clear"/>
            <w:rtl w:val="0"/>
          </w:rPr>
          <w:t xml:space="preserve">https://www.sec.gov/files/ctf-written-letter-02-10-2026.pdf</w:t>
        </w:r>
      </w:hyperlink>
      <w:r w:rsidDel="00000000" w:rsidR="00000000" w:rsidRPr="00000000">
        <w:rPr>
          <w:sz w:val="21"/>
          <w:szCs w:val="21"/>
          <w:shd w:fill="f5f5f5" w:val="clear"/>
          <w:rtl w:val="0"/>
        </w:rPr>
        <w:t xml:space="preserve">)</w:t>
      </w:r>
    </w:p>
    <w:p w:rsidR="00000000" w:rsidDel="00000000" w:rsidP="00000000" w:rsidRDefault="00000000" w:rsidRPr="00000000" w14:paraId="000002CC">
      <w:pPr>
        <w:numPr>
          <w:ilvl w:val="1"/>
          <w:numId w:val="40"/>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Phantom/Project Open submissions describing use of exemptive/no‑action relief for wallets: Relevance Score 8.54. Snippet: “Phantom fully supports … the staff use its exemptive or no‑action authority to make Project Open and the on‑chain trading of Token Shares a reality … request that the Staff confirm that they agree wallets do not provide brokerage services.” (Phantom submission, </w:t>
      </w:r>
      <w:hyperlink r:id="rId80">
        <w:r w:rsidDel="00000000" w:rsidR="00000000" w:rsidRPr="00000000">
          <w:rPr>
            <w:sz w:val="21"/>
            <w:szCs w:val="21"/>
            <w:u w:val="single"/>
            <w:shd w:fill="f5f5f5" w:val="clear"/>
            <w:rtl w:val="0"/>
          </w:rPr>
          <w:t xml:space="preserve">https://www.sec.gov/files/phantom-technologies-061725.pdf</w:t>
        </w:r>
      </w:hyperlink>
      <w:r w:rsidDel="00000000" w:rsidR="00000000" w:rsidRPr="00000000">
        <w:rPr>
          <w:sz w:val="21"/>
          <w:szCs w:val="21"/>
          <w:shd w:fill="f5f5f5" w:val="clear"/>
          <w:rtl w:val="0"/>
        </w:rPr>
        <w:t xml:space="preserve">)</w:t>
      </w:r>
    </w:p>
    <w:p w:rsidR="00000000" w:rsidDel="00000000" w:rsidP="00000000" w:rsidRDefault="00000000" w:rsidRPr="00000000" w14:paraId="000002CD">
      <w:pPr>
        <w:numPr>
          <w:ilvl w:val="0"/>
          <w:numId w:val="7"/>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Fiat on‑ and off‑ramps (banks, payments rails, broker‑dealers, money‑transmitter and custody links)</w:t>
      </w:r>
    </w:p>
    <w:p w:rsidR="00000000" w:rsidDel="00000000" w:rsidP="00000000" w:rsidRDefault="00000000" w:rsidRPr="00000000" w14:paraId="000002CE">
      <w:pPr>
        <w:numPr>
          <w:ilvl w:val="0"/>
          <w:numId w:val="2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What the SEC can use it for:</w:t>
      </w:r>
    </w:p>
    <w:p w:rsidR="00000000" w:rsidDel="00000000" w:rsidP="00000000" w:rsidRDefault="00000000" w:rsidRPr="00000000" w14:paraId="000002CF">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Impose conditions on entities that convert fiat to crypto (and vice versa) — e.g., broker/dealer registration for fiat services tied to securities, custody/segregation rules, reserve and customer protection obligations; require banking counterparties to restrict relationships unless compliance controls in place.</w:t>
      </w:r>
    </w:p>
    <w:p w:rsidR="00000000" w:rsidDel="00000000" w:rsidP="00000000" w:rsidRDefault="00000000" w:rsidRPr="00000000" w14:paraId="000002D0">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Use custody and broker‑dealer/clearing rules to control flows (e.g., require qualified custodians, SEA 15c3‑3 reserve rules, net capital haircuts).</w:t>
      </w:r>
    </w:p>
    <w:p w:rsidR="00000000" w:rsidDel="00000000" w:rsidP="00000000" w:rsidRDefault="00000000" w:rsidRPr="00000000" w14:paraId="000002D1">
      <w:pPr>
        <w:numPr>
          <w:ilvl w:val="0"/>
          <w:numId w:val="2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Practical regulatory tools:</w:t>
      </w:r>
    </w:p>
    <w:p w:rsidR="00000000" w:rsidDel="00000000" w:rsidP="00000000" w:rsidRDefault="00000000" w:rsidRPr="00000000" w14:paraId="000002D2">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Rulemaking / Interpretive guidance (custody rules, qualified‑custodian definitions), enforcement, coordination with banking regulators and state money‑transmitter frameworks, and FINRA/EXAMS oversight.</w:t>
      </w:r>
    </w:p>
    <w:p w:rsidR="00000000" w:rsidDel="00000000" w:rsidP="00000000" w:rsidRDefault="00000000" w:rsidRPr="00000000" w14:paraId="000002D3">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Using broker‑dealer registration requirements to capture on/off ramps when they effect transactions in securities.</w:t>
      </w:r>
    </w:p>
    <w:p w:rsidR="00000000" w:rsidDel="00000000" w:rsidP="00000000" w:rsidRDefault="00000000" w:rsidRPr="00000000" w14:paraId="000002D4">
      <w:pPr>
        <w:numPr>
          <w:ilvl w:val="0"/>
          <w:numId w:val="2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Evidence:</w:t>
      </w:r>
    </w:p>
    <w:p w:rsidR="00000000" w:rsidDel="00000000" w:rsidP="00000000" w:rsidRDefault="00000000" w:rsidRPr="00000000" w14:paraId="000002D5">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Extensive custody input and calls to preserve qualified‑custodian standards: Relevance Score 18.69. Snippet: “The SEC should not expand the definition of ‘qualified custodian’ … Investment advisers should not be permitted to self‑custody client crypto assets without full compliance …” (Bank Policy Institute et al., </w:t>
      </w:r>
      <w:hyperlink r:id="rId81">
        <w:r w:rsidDel="00000000" w:rsidR="00000000" w:rsidRPr="00000000">
          <w:rPr>
            <w:sz w:val="21"/>
            <w:szCs w:val="21"/>
            <w:u w:val="single"/>
            <w:shd w:fill="f5f5f5" w:val="clear"/>
            <w:rtl w:val="0"/>
          </w:rPr>
          <w:t xml:space="preserve">https://www.sec.gov/files/ctf-written-agc-bpi-fsf-custody-comment-ltr-09182025.pdf</w:t>
        </w:r>
      </w:hyperlink>
      <w:r w:rsidDel="00000000" w:rsidR="00000000" w:rsidRPr="00000000">
        <w:rPr>
          <w:sz w:val="21"/>
          <w:szCs w:val="21"/>
          <w:shd w:fill="f5f5f5" w:val="clear"/>
          <w:rtl w:val="0"/>
        </w:rPr>
        <w:t xml:space="preserve">)</w:t>
      </w:r>
    </w:p>
    <w:p w:rsidR="00000000" w:rsidDel="00000000" w:rsidP="00000000" w:rsidRDefault="00000000" w:rsidRPr="00000000" w14:paraId="000002D6">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INX / ATS experience with bank reluctance and settlement in USD: Relevance Score 12.20. Snippet: “…it became very clear that banks were instructed not to deal with firms that dealt in digital assets … establishing any banking relationship was near impossible… settlements … are settled in USD only.” (INX memo, </w:t>
      </w:r>
      <w:hyperlink r:id="rId82">
        <w:r w:rsidDel="00000000" w:rsidR="00000000" w:rsidRPr="00000000">
          <w:rPr>
            <w:sz w:val="21"/>
            <w:szCs w:val="21"/>
            <w:u w:val="single"/>
            <w:shd w:fill="f5f5f5" w:val="clear"/>
            <w:rtl w:val="0"/>
          </w:rPr>
          <w:t xml:space="preserve">https://www.sec.gov/files/ctf-memo-inx-securities-llc-inx-digital-company-inc-061725.pdf</w:t>
        </w:r>
      </w:hyperlink>
      <w:r w:rsidDel="00000000" w:rsidR="00000000" w:rsidRPr="00000000">
        <w:rPr>
          <w:sz w:val="21"/>
          <w:szCs w:val="21"/>
          <w:shd w:fill="f5f5f5" w:val="clear"/>
          <w:rtl w:val="0"/>
        </w:rPr>
        <w:t xml:space="preserve">)</w:t>
      </w:r>
    </w:p>
    <w:p w:rsidR="00000000" w:rsidDel="00000000" w:rsidP="00000000" w:rsidRDefault="00000000" w:rsidRPr="00000000" w14:paraId="000002D7">
      <w:pPr>
        <w:numPr>
          <w:ilvl w:val="1"/>
          <w:numId w:val="22"/>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Wintermute (policy input advocating clarity for broker‑dealer activities and tokenized securities settlement): Relevance Score 7.33. Snippet: “The Commission should clarify … broker‑dealers may trade tokenized securities for their own account, self‑clear and settle such trades, and custody proprietary positions using wallet software…” (Wintermute submission, </w:t>
      </w:r>
      <w:hyperlink r:id="rId83">
        <w:r w:rsidDel="00000000" w:rsidR="00000000" w:rsidRPr="00000000">
          <w:rPr>
            <w:sz w:val="21"/>
            <w:szCs w:val="21"/>
            <w:u w:val="single"/>
            <w:shd w:fill="f5f5f5" w:val="clear"/>
            <w:rtl w:val="0"/>
          </w:rPr>
          <w:t xml:space="preserve">https://www.sec.gov/files/wintermute-response-sec-090325.pdf</w:t>
        </w:r>
      </w:hyperlink>
      <w:r w:rsidDel="00000000" w:rsidR="00000000" w:rsidRPr="00000000">
        <w:rPr>
          <w:sz w:val="21"/>
          <w:szCs w:val="21"/>
          <w:shd w:fill="f5f5f5" w:val="clear"/>
          <w:rtl w:val="0"/>
        </w:rPr>
        <w:t xml:space="preserve">)</w:t>
      </w:r>
    </w:p>
    <w:p w:rsidR="00000000" w:rsidDel="00000000" w:rsidP="00000000" w:rsidRDefault="00000000" w:rsidRPr="00000000" w14:paraId="000002D8">
      <w:pPr>
        <w:numPr>
          <w:ilvl w:val="0"/>
          <w:numId w:val="72"/>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Custody / qualified‑custodian rule as a leverage point</w:t>
      </w:r>
    </w:p>
    <w:p w:rsidR="00000000" w:rsidDel="00000000" w:rsidP="00000000" w:rsidRDefault="00000000" w:rsidRPr="00000000" w14:paraId="000002D9">
      <w:pPr>
        <w:numPr>
          <w:ilvl w:val="0"/>
          <w:numId w:val="51"/>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What the SEC can use it for:</w:t>
      </w:r>
    </w:p>
    <w:p w:rsidR="00000000" w:rsidDel="00000000" w:rsidP="00000000" w:rsidRDefault="00000000" w:rsidRPr="00000000" w14:paraId="000002DA">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Require third‑party qualified custodians (or impose standards for qualified crypto custodians) to control tokenized‑security custody and thereby shape market structure and counterparty risk.</w:t>
      </w:r>
    </w:p>
    <w:p w:rsidR="00000000" w:rsidDel="00000000" w:rsidP="00000000" w:rsidRDefault="00000000" w:rsidRPr="00000000" w14:paraId="000002DB">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Condition exemptions or approvals on custody architecture (segregation, transfer agents, immutable custody).</w:t>
      </w:r>
    </w:p>
    <w:p w:rsidR="00000000" w:rsidDel="00000000" w:rsidP="00000000" w:rsidRDefault="00000000" w:rsidRPr="00000000" w14:paraId="000002DC">
      <w:pPr>
        <w:numPr>
          <w:ilvl w:val="0"/>
          <w:numId w:val="51"/>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Evidence:</w:t>
      </w:r>
    </w:p>
    <w:p w:rsidR="00000000" w:rsidDel="00000000" w:rsidP="00000000" w:rsidRDefault="00000000" w:rsidRPr="00000000" w14:paraId="000002DD">
      <w:pPr>
        <w:numPr>
          <w:ilvl w:val="1"/>
          <w:numId w:val="51"/>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Industry calls (Digital Chamber, Blockchain Association, BPI) to clarify and expand qualified‑custodian rules or preserve bank‑level safeguards: Relevance Scores 18.08 / 17.95 / 18.69. Snippets: (TDC) “implementing multi‑party computation or multi‑signature arrangements … continuous monitoring … regular audits …” (</w:t>
      </w:r>
      <w:hyperlink r:id="rId84">
        <w:r w:rsidDel="00000000" w:rsidR="00000000" w:rsidRPr="00000000">
          <w:rPr>
            <w:sz w:val="21"/>
            <w:szCs w:val="21"/>
            <w:u w:val="single"/>
            <w:shd w:fill="f5f5f5" w:val="clear"/>
            <w:rtl w:val="0"/>
          </w:rPr>
          <w:t xml:space="preserve">https://www.sec.gov/files/tdc-response-051225.pdf</w:t>
        </w:r>
      </w:hyperlink>
      <w:r w:rsidDel="00000000" w:rsidR="00000000" w:rsidRPr="00000000">
        <w:rPr>
          <w:sz w:val="21"/>
          <w:szCs w:val="21"/>
          <w:shd w:fill="f5f5f5" w:val="clear"/>
          <w:rtl w:val="0"/>
        </w:rPr>
        <w:t xml:space="preserve">); (Blockchain Association) “recommend that the SEC amend the RIA Custody Rule to allow registered investment advisers …” (</w:t>
      </w:r>
      <w:hyperlink r:id="rId85">
        <w:r w:rsidDel="00000000" w:rsidR="00000000" w:rsidRPr="00000000">
          <w:rPr>
            <w:sz w:val="21"/>
            <w:szCs w:val="21"/>
            <w:u w:val="single"/>
            <w:shd w:fill="f5f5f5" w:val="clear"/>
            <w:rtl w:val="0"/>
          </w:rPr>
          <w:t xml:space="preserve">https://www.sec.gov/files/ctf-blockchain-association-062625.pdf</w:t>
        </w:r>
      </w:hyperlink>
      <w:r w:rsidDel="00000000" w:rsidR="00000000" w:rsidRPr="00000000">
        <w:rPr>
          <w:sz w:val="21"/>
          <w:szCs w:val="21"/>
          <w:shd w:fill="f5f5f5" w:val="clear"/>
          <w:rtl w:val="0"/>
        </w:rPr>
        <w:t xml:space="preserve">).</w:t>
      </w:r>
    </w:p>
    <w:p w:rsidR="00000000" w:rsidDel="00000000" w:rsidP="00000000" w:rsidRDefault="00000000" w:rsidRPr="00000000" w14:paraId="000002DE">
      <w:pPr>
        <w:numPr>
          <w:ilvl w:val="0"/>
          <w:numId w:val="43"/>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What the SEC can use it for:Venue/market‑structure levers (Regulation ATS / 15c2‑11 / alternative trading system rules)</w:t>
      </w:r>
    </w:p>
    <w:p w:rsidR="00000000" w:rsidDel="00000000" w:rsidP="00000000" w:rsidRDefault="00000000" w:rsidRPr="00000000" w14:paraId="000002DF">
      <w:pPr>
        <w:numPr>
          <w:ilvl w:val="0"/>
          <w:numId w:val="43"/>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sz w:val="21"/>
          <w:szCs w:val="21"/>
          <w:shd w:fill="f5f5f5" w:val="clear"/>
        </w:rPr>
      </w:pPr>
      <w:r w:rsidDel="00000000" w:rsidR="00000000" w:rsidRPr="00000000">
        <w:rPr>
          <w:rtl w:val="0"/>
        </w:rPr>
      </w:r>
    </w:p>
    <w:p w:rsidR="00000000" w:rsidDel="00000000" w:rsidP="00000000" w:rsidRDefault="00000000" w:rsidRPr="00000000" w14:paraId="000002E0">
      <w:pPr>
        <w:numPr>
          <w:ilvl w:val="1"/>
          <w:numId w:val="43"/>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Require or tailor registration and disclosure for on‑chain ATSs, create streamlined certification processes for crypto assets, set listing/disclosure standards to give regulated venues oversight without needing to classify every token.</w:t>
      </w:r>
    </w:p>
    <w:p w:rsidR="00000000" w:rsidDel="00000000" w:rsidP="00000000" w:rsidRDefault="00000000" w:rsidRPr="00000000" w14:paraId="000002E1">
      <w:pPr>
        <w:numPr>
          <w:ilvl w:val="1"/>
          <w:numId w:val="43"/>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Use ATS rules to require pre‑trade disclosure and issuer information for to</w:t>
      </w:r>
    </w:p>
    <w:p w:rsidR="00000000" w:rsidDel="00000000" w:rsidP="00000000" w:rsidRDefault="00000000" w:rsidRPr="00000000" w14:paraId="000002E2">
      <w:pPr>
        <w:numPr>
          <w:ilvl w:val="1"/>
          <w:numId w:val="43"/>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kenized securities traded on regulated venues.</w:t>
      </w:r>
    </w:p>
    <w:p w:rsidR="00000000" w:rsidDel="00000000" w:rsidP="00000000" w:rsidRDefault="00000000" w:rsidRPr="00000000" w14:paraId="000002E3">
      <w:pPr>
        <w:numPr>
          <w:ilvl w:val="0"/>
          <w:numId w:val="43"/>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Evidence:a16z and others proposing streamlined 15c2‑11 certification for crypto assets on ATSs: Relevance Score 13.36. Snippet: “Establish a streamlined 15c2‑11 certification process for crypto assets listed on alternative trading system (ATS) platforms, providing mandatory disclosures about the assets’ design, purpose, functionality, and risks.” (</w:t>
      </w:r>
      <w:hyperlink r:id="rId86">
        <w:r w:rsidDel="00000000" w:rsidR="00000000" w:rsidRPr="00000000">
          <w:rPr>
            <w:sz w:val="21"/>
            <w:szCs w:val="21"/>
            <w:u w:val="single"/>
            <w:shd w:fill="f5f5f5" w:val="clear"/>
            <w:rtl w:val="0"/>
          </w:rPr>
          <w:t xml:space="preserve">https://www.sec.gov/files/ah-capital-management-a16z.pdf</w:t>
        </w:r>
      </w:hyperlink>
      <w:r w:rsidDel="00000000" w:rsidR="00000000" w:rsidRPr="00000000">
        <w:rPr>
          <w:sz w:val="21"/>
          <w:szCs w:val="21"/>
          <w:shd w:fill="f5f5f5" w:val="clear"/>
          <w:rtl w:val="0"/>
        </w:rPr>
        <w:t xml:space="preserve">)</w:t>
      </w:r>
    </w:p>
    <w:p w:rsidR="00000000" w:rsidDel="00000000" w:rsidP="00000000" w:rsidRDefault="00000000" w:rsidRPr="00000000" w14:paraId="000002E4">
      <w:pPr>
        <w:numPr>
          <w:ilvl w:val="1"/>
          <w:numId w:val="43"/>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INX/ATS practical experience and custody discussions: Relevance Score 12.20 (INX memo, above).</w:t>
      </w:r>
    </w:p>
    <w:p w:rsidR="00000000" w:rsidDel="00000000" w:rsidP="00000000" w:rsidRDefault="00000000" w:rsidRPr="00000000" w14:paraId="000002E5">
      <w:pPr>
        <w:numPr>
          <w:ilvl w:val="0"/>
          <w:numId w:val="8"/>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Staff statements, enforcement and case law as near‑term levers</w:t>
      </w:r>
    </w:p>
    <w:p w:rsidR="00000000" w:rsidDel="00000000" w:rsidP="00000000" w:rsidRDefault="00000000" w:rsidRPr="00000000" w14:paraId="000002E6">
      <w:pPr>
        <w:numPr>
          <w:ilvl w:val="0"/>
          <w:numId w:val="77"/>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What the SEC has used:</w:t>
      </w:r>
    </w:p>
    <w:p w:rsidR="00000000" w:rsidDel="00000000" w:rsidP="00000000" w:rsidRDefault="00000000" w:rsidRPr="00000000" w14:paraId="000002E7">
      <w:pPr>
        <w:numPr>
          <w:ilvl w:val="1"/>
          <w:numId w:val="7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Staff pronouncements (e.g., statements on staking, stablecoins, meme coins—used to create practical safe‑harbors), enforcement cases (DAO report; Coinbase litigation; Ripple/Binance suits) and selective litigation shape market behavior quickly.</w:t>
      </w:r>
    </w:p>
    <w:p w:rsidR="00000000" w:rsidDel="00000000" w:rsidP="00000000" w:rsidRDefault="00000000" w:rsidRPr="00000000" w14:paraId="000002E8">
      <w:pPr>
        <w:numPr>
          <w:ilvl w:val="0"/>
          <w:numId w:val="77"/>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Evidence:</w:t>
      </w:r>
    </w:p>
    <w:p w:rsidR="00000000" w:rsidDel="00000000" w:rsidP="00000000" w:rsidRDefault="00000000" w:rsidRPr="00000000" w14:paraId="000002E9">
      <w:pPr>
        <w:numPr>
          <w:ilvl w:val="1"/>
          <w:numId w:val="7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New Paradigm remarks referencing DAO Report and subsequent staff statements (stablecoins, staking, meme coins): Relevance Score 9.56. Snippet: “See Press Release, SEC Issues Investigative Report Concluding DAO Tokens… See Framework for ‘Investment Contract’ Analysis of Digital Assets … Division of Corporation Finance, Staff Statement on Meme Coins … Statement on Stablecoins …” (</w:t>
      </w:r>
      <w:hyperlink r:id="rId87">
        <w:r w:rsidDel="00000000" w:rsidR="00000000" w:rsidRPr="00000000">
          <w:rPr>
            <w:sz w:val="21"/>
            <w:szCs w:val="21"/>
            <w:u w:val="single"/>
            <w:shd w:fill="f5f5f5" w:val="clear"/>
            <w:rtl w:val="0"/>
          </w:rPr>
          <w:t xml:space="preserve">https://www.sec.gov/newsroom/speeches-statements/peirce-remarks-sec-speaks-051925-new-paradigm-remarks-sec-speaks</w:t>
        </w:r>
      </w:hyperlink>
      <w:r w:rsidDel="00000000" w:rsidR="00000000" w:rsidRPr="00000000">
        <w:rPr>
          <w:sz w:val="21"/>
          <w:szCs w:val="21"/>
          <w:shd w:fill="f5f5f5" w:val="clear"/>
          <w:rtl w:val="0"/>
        </w:rPr>
        <w:t xml:space="preserve">)</w:t>
      </w:r>
    </w:p>
    <w:p w:rsidR="00000000" w:rsidDel="00000000" w:rsidP="00000000" w:rsidRDefault="00000000" w:rsidRPr="00000000" w14:paraId="000002EA">
      <w:pPr>
        <w:numPr>
          <w:ilvl w:val="1"/>
          <w:numId w:val="77"/>
        </w:numPr>
        <w:pBdr>
          <w:top w:color="auto" w:space="0" w:sz="0" w:val="none"/>
          <w:bottom w:color="auto" w:space="0" w:sz="0" w:val="none"/>
          <w:right w:color="auto" w:space="0" w:sz="0" w:val="none"/>
          <w:between w:color="auto" w:space="0" w:sz="0" w:val="none"/>
        </w:pBdr>
        <w:spacing w:after="320" w:before="0" w:beforeAutospacing="0" w:line="259" w:lineRule="auto"/>
        <w:ind w:left="1960" w:hanging="360"/>
        <w:rPr>
          <w:color w:val="000000"/>
          <w:sz w:val="21"/>
          <w:szCs w:val="21"/>
          <w:shd w:fill="f5f5f5" w:val="clear"/>
        </w:rPr>
      </w:pPr>
      <w:r w:rsidDel="00000000" w:rsidR="00000000" w:rsidRPr="00000000">
        <w:rPr>
          <w:sz w:val="21"/>
          <w:szCs w:val="21"/>
          <w:shd w:fill="f5f5f5" w:val="clear"/>
          <w:rtl w:val="0"/>
        </w:rPr>
        <w:t xml:space="preserve">Howey/Hinman references (supra) and continued reliance on staff frameworks (Howey discussion, Relevance 12.99).</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1"/>
          <w:szCs w:val="21"/>
          <w:shd w:fill="f5f5f5" w:val="clear"/>
        </w:rPr>
      </w:pPr>
      <w:r w:rsidDel="00000000" w:rsidR="00000000" w:rsidRPr="00000000">
        <w:rPr>
          <w:sz w:val="21"/>
          <w:szCs w:val="21"/>
          <w:shd w:fill="f5f5f5" w:val="clear"/>
          <w:rtl w:val="0"/>
        </w:rPr>
        <w:t xml:space="preserve">Limitations and practical notes</w:t>
      </w:r>
    </w:p>
    <w:p w:rsidR="00000000" w:rsidDel="00000000" w:rsidP="00000000" w:rsidRDefault="00000000" w:rsidRPr="00000000" w14:paraId="000002EC">
      <w:pPr>
        <w:numPr>
          <w:ilvl w:val="0"/>
          <w:numId w:val="15"/>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1"/>
          <w:szCs w:val="21"/>
          <w:shd w:fill="f5f5f5" w:val="clear"/>
        </w:rPr>
      </w:pPr>
      <w:r w:rsidDel="00000000" w:rsidR="00000000" w:rsidRPr="00000000">
        <w:rPr>
          <w:sz w:val="21"/>
          <w:szCs w:val="21"/>
          <w:shd w:fill="f5f5f5" w:val="clear"/>
          <w:rtl w:val="0"/>
        </w:rPr>
        <w:t xml:space="preserve">Many of these levers interact: custody rules affect on/off ramps; front‑end behavior can change how courts view “managerial efforts” for Howey; market‑structure changes affect liquidity. The SEC commonly uses a mix of enforcement + guidance + case outcomes rather than a single rule.</w:t>
      </w:r>
    </w:p>
    <w:p w:rsidR="00000000" w:rsidDel="00000000" w:rsidP="00000000" w:rsidRDefault="00000000" w:rsidRPr="00000000" w14:paraId="000002ED">
      <w:pPr>
        <w:numPr>
          <w:ilvl w:val="0"/>
          <w:numId w:val="15"/>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Courts’ application of Howey is fact‑specific; staff speeches/frameworks influence market practice but are not binding law. (See Hinman remarks and DLT Framework citations above.)</w:t>
      </w:r>
    </w:p>
    <w:p w:rsidR="00000000" w:rsidDel="00000000" w:rsidP="00000000" w:rsidRDefault="00000000" w:rsidRPr="00000000" w14:paraId="000002EE">
      <w:pPr>
        <w:numPr>
          <w:ilvl w:val="0"/>
          <w:numId w:val="15"/>
        </w:numPr>
        <w:pBdr>
          <w:top w:color="auto" w:space="0" w:sz="0" w:val="none"/>
          <w:bottom w:color="auto" w:space="0" w:sz="0" w:val="none"/>
          <w:right w:color="auto" w:space="0" w:sz="0" w:val="none"/>
          <w:between w:color="auto" w:space="0" w:sz="0" w:val="none"/>
        </w:pBdr>
        <w:shd w:fill="0b1120" w:val="clear"/>
        <w:spacing w:after="28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Some levers require coordination with other agencies (banking regulators, FinCEN/state money‑transmitter regimes, CFTC/FINRA).</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1"/>
          <w:szCs w:val="21"/>
          <w:shd w:fill="f5f5f5" w:val="clear"/>
        </w:rPr>
      </w:pPr>
      <w:r w:rsidDel="00000000" w:rsidR="00000000" w:rsidRPr="00000000">
        <w:rPr>
          <w:sz w:val="21"/>
          <w:szCs w:val="21"/>
          <w:shd w:fill="f5f5f5" w:val="clear"/>
          <w:rtl w:val="0"/>
        </w:rPr>
        <w:t xml:space="preserve">Next steps I can take for you</w:t>
      </w:r>
    </w:p>
    <w:p w:rsidR="00000000" w:rsidDel="00000000" w:rsidP="00000000" w:rsidRDefault="00000000" w:rsidRPr="00000000" w14:paraId="000002F0">
      <w:pPr>
        <w:numPr>
          <w:ilvl w:val="0"/>
          <w:numId w:val="78"/>
        </w:numPr>
        <w:pBdr>
          <w:top w:color="auto" w:space="0" w:sz="0" w:val="none"/>
          <w:bottom w:color="auto" w:space="0" w:sz="0" w:val="none"/>
          <w:right w:color="auto" w:space="0" w:sz="0" w:val="none"/>
          <w:between w:color="auto" w:space="0" w:sz="0" w:val="none"/>
        </w:pBdr>
        <w:shd w:fill="0b1120" w:val="clear"/>
        <w:spacing w:after="0" w:afterAutospacing="0" w:before="40" w:line="259" w:lineRule="auto"/>
        <w:ind w:left="980" w:hanging="360"/>
        <w:rPr>
          <w:color w:val="000000"/>
          <w:sz w:val="21"/>
          <w:szCs w:val="21"/>
          <w:shd w:fill="f5f5f5" w:val="clear"/>
        </w:rPr>
      </w:pPr>
      <w:r w:rsidDel="00000000" w:rsidR="00000000" w:rsidRPr="00000000">
        <w:rPr>
          <w:sz w:val="21"/>
          <w:szCs w:val="21"/>
          <w:shd w:fill="f5f5f5" w:val="clear"/>
          <w:rtl w:val="0"/>
        </w:rPr>
        <w:t xml:space="preserve">Produce a prioritized policy menu (short, medium, long‑term levers) with likely legal workstreams and drafting considerations.</w:t>
      </w:r>
    </w:p>
    <w:p w:rsidR="00000000" w:rsidDel="00000000" w:rsidP="00000000" w:rsidRDefault="00000000" w:rsidRPr="00000000" w14:paraId="000002F1">
      <w:pPr>
        <w:numPr>
          <w:ilvl w:val="0"/>
          <w:numId w:val="78"/>
        </w:numPr>
        <w:pBdr>
          <w:top w:color="auto" w:space="0" w:sz="0" w:val="none"/>
          <w:bottom w:color="auto" w:space="0" w:sz="0" w:val="none"/>
          <w:right w:color="auto" w:space="0" w:sz="0" w:val="none"/>
          <w:between w:color="auto" w:space="0" w:sz="0" w:val="none"/>
        </w:pBdr>
        <w:shd w:fill="0b1120" w:val="clear"/>
        <w:spacing w:after="0" w:afterAutospacing="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Draft regulatory proxy language (e.g., sample conditions for a safe harbor tying relief to specific governance token controls or custody architecture).</w:t>
      </w:r>
    </w:p>
    <w:p w:rsidR="00000000" w:rsidDel="00000000" w:rsidP="00000000" w:rsidRDefault="00000000" w:rsidRPr="00000000" w14:paraId="000002F2">
      <w:pPr>
        <w:numPr>
          <w:ilvl w:val="0"/>
          <w:numId w:val="78"/>
        </w:numPr>
        <w:pBdr>
          <w:top w:color="auto" w:space="0" w:sz="0" w:val="none"/>
          <w:bottom w:color="auto" w:space="0" w:sz="0" w:val="none"/>
          <w:right w:color="auto" w:space="0" w:sz="0" w:val="none"/>
          <w:between w:color="auto" w:space="0" w:sz="0" w:val="none"/>
        </w:pBdr>
        <w:shd w:fill="0b1120" w:val="clear"/>
        <w:spacing w:after="280" w:before="0" w:beforeAutospacing="0" w:line="259" w:lineRule="auto"/>
        <w:ind w:left="980" w:hanging="360"/>
        <w:rPr>
          <w:color w:val="000000"/>
          <w:sz w:val="21"/>
          <w:szCs w:val="21"/>
          <w:shd w:fill="f5f5f5" w:val="clear"/>
        </w:rPr>
      </w:pPr>
      <w:r w:rsidDel="00000000" w:rsidR="00000000" w:rsidRPr="00000000">
        <w:rPr>
          <w:sz w:val="21"/>
          <w:szCs w:val="21"/>
          <w:shd w:fill="f5f5f5" w:val="clear"/>
          <w:rtl w:val="0"/>
        </w:rPr>
        <w:t xml:space="preserve">Run a deeper document search for particular items (e.g., all SEC enforcement actions mentioning wallets; detailed task‑force submissions on custodial standards).</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hd w:fill="0b1120" w:val="clear"/>
        <w:spacing w:after="240" w:line="259" w:lineRule="auto"/>
        <w:jc w:val="both"/>
        <w:rPr>
          <w:sz w:val="21"/>
          <w:szCs w:val="21"/>
          <w:shd w:fill="f5f5f5" w:val="clear"/>
        </w:rPr>
      </w:pPr>
      <w:r w:rsidDel="00000000" w:rsidR="00000000" w:rsidRPr="00000000">
        <w:rPr>
          <w:sz w:val="21"/>
          <w:szCs w:val="21"/>
          <w:shd w:fill="f5f5f5" w:val="clear"/>
          <w:rtl w:val="0"/>
        </w:rPr>
        <w:t xml:space="preserve">Do you want a prioritized policy menu (which levers are highest impact vs. easiest to implement) or a drafted sample of conditional relief language for one of the levers (e.g., governance‑token safe harbor or wallet‑neutrality conditions)?</w:t>
      </w:r>
    </w:p>
    <w:p w:rsidR="00000000" w:rsidDel="00000000" w:rsidP="00000000" w:rsidRDefault="00000000" w:rsidRPr="00000000" w14:paraId="000002F4">
      <w:pPr>
        <w:spacing w:after="240" w:before="240" w:line="259" w:lineRule="auto"/>
        <w:jc w:val="both"/>
        <w:rPr>
          <w:sz w:val="21"/>
          <w:szCs w:val="21"/>
          <w:shd w:fill="f5f5f5" w:val="clear"/>
        </w:rPr>
      </w:pPr>
      <w:r w:rsidDel="00000000" w:rsidR="00000000" w:rsidRPr="00000000">
        <w:rPr>
          <w:rtl w:val="0"/>
        </w:rPr>
      </w:r>
    </w:p>
    <w:p w:rsidR="00000000" w:rsidDel="00000000" w:rsidP="00000000" w:rsidRDefault="00000000" w:rsidRPr="00000000" w14:paraId="000002F5">
      <w:pPr>
        <w:spacing w:after="240" w:before="240" w:line="259" w:lineRule="auto"/>
        <w:jc w:val="both"/>
        <w:rPr>
          <w:sz w:val="21"/>
          <w:szCs w:val="21"/>
          <w:shd w:fill="f5f5f5" w:val="clear"/>
        </w:rPr>
      </w:pPr>
      <w:hyperlink r:id="rId88">
        <w:r w:rsidDel="00000000" w:rsidR="00000000" w:rsidRPr="00000000">
          <w:rPr>
            <w:color w:val="1155cc"/>
            <w:sz w:val="21"/>
            <w:szCs w:val="21"/>
            <w:u w:val="single"/>
            <w:shd w:fill="f5f5f5" w:val="clear"/>
            <w:rtl w:val="0"/>
          </w:rPr>
          <w:t xml:space="preserve">Perplexity.ai</w:t>
        </w:r>
      </w:hyperlink>
      <w:r w:rsidDel="00000000" w:rsidR="00000000" w:rsidRPr="00000000">
        <w:rPr>
          <w:rtl w:val="0"/>
        </w:rPr>
      </w:r>
    </w:p>
    <w:p w:rsidR="00000000" w:rsidDel="00000000" w:rsidP="00000000" w:rsidRDefault="00000000" w:rsidRPr="00000000" w14:paraId="000002F6">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Yes. Several existing SEC tools could be used as </w:t>
      </w:r>
      <w:r w:rsidDel="00000000" w:rsidR="00000000" w:rsidRPr="00000000">
        <w:rPr>
          <w:b w:val="1"/>
          <w:bCs w:val="1"/>
          <w:sz w:val="21"/>
          <w:szCs w:val="21"/>
          <w:shd w:fill="f5f5f5" w:val="clear"/>
          <w:rtl w:val="0"/>
        </w:rPr>
        <w:t xml:space="preserve">regulatory proxies</w:t>
      </w:r>
      <w:r w:rsidDel="00000000" w:rsidR="00000000" w:rsidRPr="00000000">
        <w:rPr>
          <w:sz w:val="21"/>
          <w:szCs w:val="21"/>
          <w:shd w:fill="f5f5f5" w:val="clear"/>
          <w:rtl w:val="0"/>
        </w:rPr>
        <w:t xml:space="preserve"> for things like governance token control, front‑end regulation, and fiat on/off‑ramp oversight, even without new legislation.sec+1</w:t>
      </w:r>
    </w:p>
    <w:p w:rsidR="00000000" w:rsidDel="00000000" w:rsidP="00000000" w:rsidRDefault="00000000" w:rsidRPr="00000000" w14:paraId="000002F7">
      <w:pPr>
        <w:pStyle w:val="Heading2"/>
        <w:keepNext w:val="0"/>
        <w:keepLines w:val="0"/>
        <w:spacing w:after="80" w:line="259" w:lineRule="auto"/>
        <w:jc w:val="both"/>
        <w:rPr>
          <w:b w:val="1"/>
          <w:bCs w:val="1"/>
          <w:sz w:val="34"/>
          <w:szCs w:val="34"/>
          <w:shd w:fill="f5f5f5" w:val="clear"/>
        </w:rPr>
      </w:pPr>
      <w:bookmarkStart w:colFirst="0" w:colLast="0" w:name="_8n8tc4skaawd" w:id="60"/>
      <w:bookmarkEnd w:id="60"/>
      <w:r w:rsidDel="00000000" w:rsidR="00000000" w:rsidRPr="00000000">
        <w:rPr>
          <w:b w:val="1"/>
          <w:bCs w:val="1"/>
          <w:sz w:val="34"/>
          <w:szCs w:val="34"/>
          <w:shd w:fill="f5f5f5" w:val="clear"/>
          <w:rtl w:val="0"/>
        </w:rPr>
        <w:t xml:space="preserve">1. Governance token control</w:t>
      </w:r>
    </w:p>
    <w:p w:rsidR="00000000" w:rsidDel="00000000" w:rsidP="00000000" w:rsidRDefault="00000000" w:rsidRPr="00000000" w14:paraId="000002F8">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SEC can indirectly regulate governance token controllers by treating them as traditional securities “control persons” or as gatekeepers:</w:t>
      </w:r>
    </w:p>
    <w:p w:rsidR="00000000" w:rsidDel="00000000" w:rsidP="00000000" w:rsidRDefault="00000000" w:rsidRPr="00000000" w14:paraId="000002F9">
      <w:pPr>
        <w:numPr>
          <w:ilvl w:val="0"/>
          <w:numId w:val="14"/>
        </w:numPr>
        <w:spacing w:after="0" w:afterAutospacing="0" w:before="24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Control person / promoter liability:</w:t>
      </w:r>
      <w:r w:rsidDel="00000000" w:rsidR="00000000" w:rsidRPr="00000000">
        <w:rPr>
          <w:sz w:val="21"/>
          <w:szCs w:val="21"/>
          <w:shd w:fill="f5f5f5" w:val="clear"/>
          <w:rtl w:val="0"/>
        </w:rPr>
        <w:t xml:space="preserve"> If a protocol’s governance token or related instruments are securities, those who hold concentrated voting power, set upgrade parameters, or direct treasuries can be treated as promoters, control persons, or unregistered dealers, and thus subject to antifraud, registration, and reporting duties.[</w:t>
      </w:r>
      <w:hyperlink r:id="rId89">
        <w:r w:rsidDel="00000000" w:rsidR="00000000" w:rsidRPr="00000000">
          <w:rPr>
            <w:color w:val="1155cc"/>
            <w:sz w:val="21"/>
            <w:szCs w:val="21"/>
            <w:u w:val="single"/>
            <w:shd w:fill="f5f5f5" w:val="clear"/>
            <w:rtl w:val="0"/>
          </w:rPr>
          <w:t xml:space="preserve">sec</w:t>
        </w:r>
      </w:hyperlink>
      <w:r w:rsidDel="00000000" w:rsidR="00000000" w:rsidRPr="00000000">
        <w:rPr>
          <w:sz w:val="21"/>
          <w:szCs w:val="21"/>
          <w:shd w:fill="f5f5f5" w:val="clear"/>
          <w:rtl w:val="0"/>
        </w:rPr>
        <w:t xml:space="preserve">]​</w:t>
        <w:br w:type="textWrapping"/>
      </w:r>
    </w:p>
    <w:p w:rsidR="00000000" w:rsidDel="00000000" w:rsidP="00000000" w:rsidRDefault="00000000" w:rsidRPr="00000000" w14:paraId="000002FA">
      <w:pPr>
        <w:numPr>
          <w:ilvl w:val="0"/>
          <w:numId w:val="14"/>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Investment adviser / fund rules:</w:t>
      </w:r>
      <w:r w:rsidDel="00000000" w:rsidR="00000000" w:rsidRPr="00000000">
        <w:rPr>
          <w:sz w:val="21"/>
          <w:szCs w:val="21"/>
          <w:shd w:fill="f5f5f5" w:val="clear"/>
          <w:rtl w:val="0"/>
        </w:rPr>
        <w:t xml:space="preserve"> Entities that pool governance tokens or vote them on behalf of others (e.g., governance‑token funds, voting delegates) can be captured through investment adviser and fund regulations, which then constrain how those actors exercise protocol control.</w:t>
        <w:br w:type="textWrapping"/>
      </w:r>
    </w:p>
    <w:p w:rsidR="00000000" w:rsidDel="00000000" w:rsidP="00000000" w:rsidRDefault="00000000" w:rsidRPr="00000000" w14:paraId="000002FB">
      <w:pPr>
        <w:numPr>
          <w:ilvl w:val="0"/>
          <w:numId w:val="14"/>
        </w:numPr>
        <w:spacing w:after="24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SRO and listing‑standard leverage:</w:t>
      </w:r>
      <w:r w:rsidDel="00000000" w:rsidR="00000000" w:rsidRPr="00000000">
        <w:rPr>
          <w:sz w:val="21"/>
          <w:szCs w:val="21"/>
          <w:shd w:fill="f5f5f5" w:val="clear"/>
          <w:rtl w:val="0"/>
        </w:rPr>
        <w:t xml:space="preserve"> Where governance tokens are listed on SEC‑regulated venues, the SEC can push exchanges/ATSs to adopt listing standards that require certain decentralization thresholds, transparency on admin keys, and disclosure of governance‑holder concentrations as conditions for listing.</w:t>
        <w:br w:type="textWrapping"/>
      </w:r>
    </w:p>
    <w:p w:rsidR="00000000" w:rsidDel="00000000" w:rsidP="00000000" w:rsidRDefault="00000000" w:rsidRPr="00000000" w14:paraId="000002FC">
      <w:pPr>
        <w:pStyle w:val="Heading2"/>
        <w:keepNext w:val="0"/>
        <w:keepLines w:val="0"/>
        <w:spacing w:after="80" w:line="259" w:lineRule="auto"/>
        <w:jc w:val="both"/>
        <w:rPr>
          <w:b w:val="1"/>
          <w:bCs w:val="1"/>
          <w:sz w:val="34"/>
          <w:szCs w:val="34"/>
          <w:shd w:fill="f5f5f5" w:val="clear"/>
        </w:rPr>
      </w:pPr>
      <w:bookmarkStart w:colFirst="0" w:colLast="0" w:name="_stkdhvwdr5py" w:id="61"/>
      <w:bookmarkEnd w:id="61"/>
      <w:r w:rsidDel="00000000" w:rsidR="00000000" w:rsidRPr="00000000">
        <w:rPr>
          <w:b w:val="1"/>
          <w:bCs w:val="1"/>
          <w:sz w:val="34"/>
          <w:szCs w:val="34"/>
          <w:shd w:fill="f5f5f5" w:val="clear"/>
          <w:rtl w:val="0"/>
        </w:rPr>
        <w:t xml:space="preserve">2. Front‑end and interface regulation</w:t>
      </w:r>
    </w:p>
    <w:p w:rsidR="00000000" w:rsidDel="00000000" w:rsidP="00000000" w:rsidRDefault="00000000" w:rsidRPr="00000000" w14:paraId="000002FD">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Even for nominally “decentralized” protocols, the SEC can reach the human‑run touch points:</w:t>
      </w:r>
    </w:p>
    <w:p w:rsidR="00000000" w:rsidDel="00000000" w:rsidP="00000000" w:rsidRDefault="00000000" w:rsidRPr="00000000" w14:paraId="000002FE">
      <w:pPr>
        <w:numPr>
          <w:ilvl w:val="0"/>
          <w:numId w:val="90"/>
        </w:numPr>
        <w:spacing w:after="0" w:afterAutospacing="0" w:before="24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Treating front‑ends as broker‑dealers or exchanges:</w:t>
      </w:r>
      <w:r w:rsidDel="00000000" w:rsidR="00000000" w:rsidRPr="00000000">
        <w:rPr>
          <w:sz w:val="21"/>
          <w:szCs w:val="21"/>
          <w:shd w:fill="f5f5f5" w:val="clear"/>
          <w:rtl w:val="0"/>
        </w:rPr>
        <w:t xml:space="preserve"> Web UIs, order‑routing tools, and aggregators that facilitate trading of securities‑like tokens can be treated as brokers or exchanges (or “communication protocol systems”) and thus required to register or fit within exemptions; this regulates the interfaces without touching immutable smart contracts.sec+1</w:t>
        <w:br w:type="textWrapping"/>
      </w:r>
    </w:p>
    <w:p w:rsidR="00000000" w:rsidDel="00000000" w:rsidP="00000000" w:rsidRDefault="00000000" w:rsidRPr="00000000" w14:paraId="000002FF">
      <w:pPr>
        <w:numPr>
          <w:ilvl w:val="0"/>
          <w:numId w:val="90"/>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Advertising and solicitation rules:</w:t>
      </w:r>
      <w:r w:rsidDel="00000000" w:rsidR="00000000" w:rsidRPr="00000000">
        <w:rPr>
          <w:sz w:val="21"/>
          <w:szCs w:val="21"/>
          <w:shd w:fill="f5f5f5" w:val="clear"/>
          <w:rtl w:val="0"/>
        </w:rPr>
        <w:t xml:space="preserve"> Front‑end operators and affiliates that promote access to a protocol offering securities can be captured via solicitation, marketing, and “finder” concepts, triggering antifraud and disclosure duties.</w:t>
        <w:br w:type="textWrapping"/>
      </w:r>
    </w:p>
    <w:p w:rsidR="00000000" w:rsidDel="00000000" w:rsidP="00000000" w:rsidRDefault="00000000" w:rsidRPr="00000000" w14:paraId="00000300">
      <w:pPr>
        <w:numPr>
          <w:ilvl w:val="0"/>
          <w:numId w:val="90"/>
        </w:numPr>
        <w:spacing w:after="24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Recordkeeping and surveillance expectations:</w:t>
      </w:r>
      <w:r w:rsidDel="00000000" w:rsidR="00000000" w:rsidRPr="00000000">
        <w:rPr>
          <w:sz w:val="21"/>
          <w:szCs w:val="21"/>
          <w:shd w:fill="f5f5f5" w:val="clear"/>
          <w:rtl w:val="0"/>
        </w:rPr>
        <w:t xml:space="preserve"> For registered entities that host or integrate such front‑ends, the SEC can use existing books‑and‑records, surveillance, and Reg SCI‑like concepts to require monitoring of protocol use, even if the core contracts are permissionless.</w:t>
        <w:br w:type="textWrapping"/>
      </w:r>
    </w:p>
    <w:p w:rsidR="00000000" w:rsidDel="00000000" w:rsidP="00000000" w:rsidRDefault="00000000" w:rsidRPr="00000000" w14:paraId="00000301">
      <w:pPr>
        <w:pStyle w:val="Heading2"/>
        <w:keepNext w:val="0"/>
        <w:keepLines w:val="0"/>
        <w:spacing w:after="80" w:line="259" w:lineRule="auto"/>
        <w:jc w:val="both"/>
        <w:rPr>
          <w:b w:val="1"/>
          <w:bCs w:val="1"/>
          <w:sz w:val="34"/>
          <w:szCs w:val="34"/>
          <w:shd w:fill="f5f5f5" w:val="clear"/>
        </w:rPr>
      </w:pPr>
      <w:bookmarkStart w:colFirst="0" w:colLast="0" w:name="_crblsx7v0pxg" w:id="62"/>
      <w:bookmarkEnd w:id="62"/>
      <w:r w:rsidDel="00000000" w:rsidR="00000000" w:rsidRPr="00000000">
        <w:rPr>
          <w:b w:val="1"/>
          <w:bCs w:val="1"/>
          <w:sz w:val="34"/>
          <w:szCs w:val="34"/>
          <w:shd w:fill="f5f5f5" w:val="clear"/>
          <w:rtl w:val="0"/>
        </w:rPr>
        <w:t xml:space="preserve">3. Fiat on/off‑ramp and custody oversight</w:t>
      </w:r>
    </w:p>
    <w:p w:rsidR="00000000" w:rsidDel="00000000" w:rsidP="00000000" w:rsidRDefault="00000000" w:rsidRPr="00000000" w14:paraId="00000302">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On‑ and off‑ramps are already squarely within the SEC’s orbit when they touch securities activity:</w:t>
      </w:r>
    </w:p>
    <w:p w:rsidR="00000000" w:rsidDel="00000000" w:rsidP="00000000" w:rsidRDefault="00000000" w:rsidRPr="00000000" w14:paraId="00000303">
      <w:pPr>
        <w:numPr>
          <w:ilvl w:val="0"/>
          <w:numId w:val="23"/>
        </w:numPr>
        <w:spacing w:after="0" w:afterAutospacing="0" w:before="24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Broker‑dealer and ATS regulation:</w:t>
      </w:r>
      <w:r w:rsidDel="00000000" w:rsidR="00000000" w:rsidRPr="00000000">
        <w:rPr>
          <w:sz w:val="21"/>
          <w:szCs w:val="21"/>
          <w:shd w:fill="f5f5f5" w:val="clear"/>
          <w:rtl w:val="0"/>
        </w:rPr>
        <w:t xml:space="preserve"> Centralized exchanges, OTC desks, and routing platforms that convert between fiat, stablecoins, and tokenized securities can be required to register (or use affiliates that register) and comply with customer‑asset protections, net capital, and best‑execution duties.[</w:t>
      </w:r>
      <w:hyperlink r:id="rId90">
        <w:r w:rsidDel="00000000" w:rsidR="00000000" w:rsidRPr="00000000">
          <w:rPr>
            <w:color w:val="1155cc"/>
            <w:sz w:val="21"/>
            <w:szCs w:val="21"/>
            <w:u w:val="single"/>
            <w:shd w:fill="f5f5f5" w:val="clear"/>
            <w:rtl w:val="0"/>
          </w:rPr>
          <w:t xml:space="preserve">sec</w:t>
        </w:r>
      </w:hyperlink>
      <w:r w:rsidDel="00000000" w:rsidR="00000000" w:rsidRPr="00000000">
        <w:rPr>
          <w:sz w:val="21"/>
          <w:szCs w:val="21"/>
          <w:shd w:fill="f5f5f5" w:val="clear"/>
          <w:rtl w:val="0"/>
        </w:rPr>
        <w:t xml:space="preserve">]​</w:t>
        <w:br w:type="textWrapping"/>
      </w:r>
    </w:p>
    <w:p w:rsidR="00000000" w:rsidDel="00000000" w:rsidP="00000000" w:rsidRDefault="00000000" w:rsidRPr="00000000" w14:paraId="00000304">
      <w:pPr>
        <w:numPr>
          <w:ilvl w:val="0"/>
          <w:numId w:val="23"/>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Qualified custodian / customer protection rules:</w:t>
      </w:r>
      <w:r w:rsidDel="00000000" w:rsidR="00000000" w:rsidRPr="00000000">
        <w:rPr>
          <w:sz w:val="21"/>
          <w:szCs w:val="21"/>
          <w:shd w:fill="f5f5f5" w:val="clear"/>
          <w:rtl w:val="0"/>
        </w:rPr>
        <w:t xml:space="preserve"> When stablecoins or tokenized securities sit in customer accounts at broker‑dealers or advisers, the SEC can rely on customer‑protection rules and custody requirements to dictate how reserves, rehypothecation, and segregation work—effectively shaping stablecoin and on‑ramp risk management without directly regulating the protocol.</w:t>
        <w:br w:type="textWrapping"/>
      </w:r>
    </w:p>
    <w:p w:rsidR="00000000" w:rsidDel="00000000" w:rsidP="00000000" w:rsidRDefault="00000000" w:rsidRPr="00000000" w14:paraId="00000305">
      <w:pPr>
        <w:numPr>
          <w:ilvl w:val="0"/>
          <w:numId w:val="23"/>
        </w:numPr>
        <w:spacing w:after="24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Transaction‑reporting hooks:</w:t>
      </w:r>
      <w:r w:rsidDel="00000000" w:rsidR="00000000" w:rsidRPr="00000000">
        <w:rPr>
          <w:sz w:val="21"/>
          <w:szCs w:val="21"/>
          <w:shd w:fill="f5f5f5" w:val="clear"/>
          <w:rtl w:val="0"/>
        </w:rPr>
        <w:t xml:space="preserve"> If stablecoin legs or tokenized legs of a trade are part of a securities transaction, the SEC can require reporting (via TRACE‑like systems or blue‑sheet requests), giving it visibility into flows through fiat and stablecoin gateways.</w:t>
        <w:br w:type="textWrapping"/>
      </w:r>
    </w:p>
    <w:p w:rsidR="00000000" w:rsidDel="00000000" w:rsidP="00000000" w:rsidRDefault="00000000" w:rsidRPr="00000000" w14:paraId="00000306">
      <w:pPr>
        <w:pStyle w:val="Heading2"/>
        <w:keepNext w:val="0"/>
        <w:keepLines w:val="0"/>
        <w:spacing w:after="80" w:line="259" w:lineRule="auto"/>
        <w:jc w:val="both"/>
        <w:rPr>
          <w:b w:val="1"/>
          <w:bCs w:val="1"/>
          <w:sz w:val="34"/>
          <w:szCs w:val="34"/>
          <w:shd w:fill="f5f5f5" w:val="clear"/>
        </w:rPr>
      </w:pPr>
      <w:bookmarkStart w:colFirst="0" w:colLast="0" w:name="_omxv9x2anpbh" w:id="63"/>
      <w:bookmarkEnd w:id="63"/>
      <w:r w:rsidDel="00000000" w:rsidR="00000000" w:rsidRPr="00000000">
        <w:rPr>
          <w:b w:val="1"/>
          <w:bCs w:val="1"/>
          <w:sz w:val="34"/>
          <w:szCs w:val="34"/>
          <w:shd w:fill="f5f5f5" w:val="clear"/>
          <w:rtl w:val="0"/>
        </w:rPr>
        <w:t xml:space="preserve">4. Other useful proxy levers</w:t>
      </w:r>
    </w:p>
    <w:p w:rsidR="00000000" w:rsidDel="00000000" w:rsidP="00000000" w:rsidRDefault="00000000" w:rsidRPr="00000000" w14:paraId="00000307">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Beyond those three buckets, the SEC has additional indirect tools:</w:t>
      </w:r>
    </w:p>
    <w:p w:rsidR="00000000" w:rsidDel="00000000" w:rsidP="00000000" w:rsidRDefault="00000000" w:rsidRPr="00000000" w14:paraId="00000308">
      <w:pPr>
        <w:numPr>
          <w:ilvl w:val="0"/>
          <w:numId w:val="89"/>
        </w:numPr>
        <w:spacing w:after="0" w:afterAutospacing="0" w:before="24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Tokenized‑securities guidance and taxonomies:</w:t>
      </w:r>
      <w:r w:rsidDel="00000000" w:rsidR="00000000" w:rsidRPr="00000000">
        <w:rPr>
          <w:sz w:val="21"/>
          <w:szCs w:val="21"/>
          <w:shd w:fill="f5f5f5" w:val="clear"/>
          <w:rtl w:val="0"/>
        </w:rPr>
        <w:t xml:space="preserve"> The 2026 tokenized‑securities statements emphasize that tech form does not change legal status and provide taxonomies for issuer‑sponsored, custodial, and synthetic tokenization models; those taxonomies could be extended in practice to protocols or DAOs that look functionally similar to these models.techlawstartup+2</w:t>
        <w:br w:type="textWrapping"/>
      </w:r>
    </w:p>
    <w:p w:rsidR="00000000" w:rsidDel="00000000" w:rsidP="00000000" w:rsidRDefault="00000000" w:rsidRPr="00000000" w14:paraId="00000309">
      <w:pPr>
        <w:numPr>
          <w:ilvl w:val="0"/>
          <w:numId w:val="89"/>
        </w:numPr>
        <w:spacing w:after="0" w:afterAutospacing="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Gatekeeper pressure:</w:t>
      </w:r>
      <w:r w:rsidDel="00000000" w:rsidR="00000000" w:rsidRPr="00000000">
        <w:rPr>
          <w:sz w:val="21"/>
          <w:szCs w:val="21"/>
          <w:shd w:fill="f5f5f5" w:val="clear"/>
          <w:rtl w:val="0"/>
        </w:rPr>
        <w:t xml:space="preserve"> By leaning on auditors, lawyers, and underwriters involved with tokenized or protocol‑based products, the SEC can raise the bar for disclosures around governance, admin‑key risk, and off‑/on‑ramp design.</w:t>
        <w:br w:type="textWrapping"/>
      </w:r>
    </w:p>
    <w:p w:rsidR="00000000" w:rsidDel="00000000" w:rsidP="00000000" w:rsidRDefault="00000000" w:rsidRPr="00000000" w14:paraId="0000030A">
      <w:pPr>
        <w:numPr>
          <w:ilvl w:val="0"/>
          <w:numId w:val="89"/>
        </w:numPr>
        <w:spacing w:after="240" w:before="0" w:beforeAutospacing="0" w:line="259" w:lineRule="auto"/>
        <w:ind w:left="720" w:hanging="360"/>
        <w:rPr>
          <w:sz w:val="21"/>
          <w:szCs w:val="21"/>
          <w:shd w:fill="f5f5f5" w:val="clear"/>
        </w:rPr>
      </w:pPr>
      <w:r w:rsidDel="00000000" w:rsidR="00000000" w:rsidRPr="00000000">
        <w:rPr>
          <w:b w:val="1"/>
          <w:bCs w:val="1"/>
          <w:sz w:val="21"/>
          <w:szCs w:val="21"/>
          <w:shd w:fill="f5f5f5" w:val="clear"/>
          <w:rtl w:val="0"/>
        </w:rPr>
        <w:t xml:space="preserve">Interpretive guidance / no‑action templates:</w:t>
      </w:r>
      <w:r w:rsidDel="00000000" w:rsidR="00000000" w:rsidRPr="00000000">
        <w:rPr>
          <w:sz w:val="21"/>
          <w:szCs w:val="21"/>
          <w:shd w:fill="f5f5f5" w:val="clear"/>
          <w:rtl w:val="0"/>
        </w:rPr>
        <w:t xml:space="preserve"> Staff can publish guidance clarifying when providing a front‑end, governance aggregation service, or stablecoin on‑ramp does or does not trigger registration—effectively steering architectures toward preferred risk profiles without banning specific designs.sec+1</w:t>
        <w:br w:type="textWrapping"/>
      </w:r>
    </w:p>
    <w:p w:rsidR="00000000" w:rsidDel="00000000" w:rsidP="00000000" w:rsidRDefault="00000000" w:rsidRPr="00000000" w14:paraId="0000030B">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In practice, this means the SEC does not need a bespoke “DeFi statute” to influence governance token control, front‑ends, or on‑/off‑ramps; it can use existing authorities over intermediaries, tokenized securities, and gatekeepers as policy levers that act as </w:t>
      </w:r>
      <w:r w:rsidDel="00000000" w:rsidR="00000000" w:rsidRPr="00000000">
        <w:rPr>
          <w:b w:val="1"/>
          <w:bCs w:val="1"/>
          <w:sz w:val="21"/>
          <w:szCs w:val="21"/>
          <w:shd w:fill="f5f5f5" w:val="clear"/>
          <w:rtl w:val="0"/>
        </w:rPr>
        <w:t xml:space="preserve">proxies</w:t>
      </w:r>
      <w:r w:rsidDel="00000000" w:rsidR="00000000" w:rsidRPr="00000000">
        <w:rPr>
          <w:sz w:val="21"/>
          <w:szCs w:val="21"/>
          <w:shd w:fill="f5f5f5" w:val="clear"/>
          <w:rtl w:val="0"/>
        </w:rPr>
        <w:t xml:space="preserve"> for direct protocol regulation.morganlewis+3</w:t>
      </w:r>
    </w:p>
    <w:p w:rsidR="00000000" w:rsidDel="00000000" w:rsidP="00000000" w:rsidRDefault="00000000" w:rsidRPr="00000000" w14:paraId="0000030C">
      <w:pPr>
        <w:spacing w:after="240" w:before="240" w:line="259" w:lineRule="auto"/>
        <w:jc w:val="both"/>
        <w:rPr>
          <w:sz w:val="21"/>
          <w:szCs w:val="21"/>
          <w:shd w:fill="f5f5f5" w:val="clear"/>
        </w:rPr>
      </w:pPr>
      <w:r w:rsidDel="00000000" w:rsidR="00000000" w:rsidRPr="00000000">
        <w:rPr>
          <w:sz w:val="21"/>
          <w:szCs w:val="21"/>
          <w:shd w:fill="f5f5f5" w:val="clear"/>
          <w:rtl w:val="0"/>
        </w:rPr>
        <w:br w:type="textWrapping"/>
      </w:r>
      <w:hyperlink r:id="rId91">
        <w:r w:rsidDel="00000000" w:rsidR="00000000" w:rsidRPr="00000000">
          <w:rPr>
            <w:color w:val="1155cc"/>
            <w:sz w:val="21"/>
            <w:szCs w:val="21"/>
            <w:u w:val="single"/>
            <w:shd w:fill="f5f5f5" w:val="clear"/>
            <w:rtl w:val="0"/>
          </w:rPr>
          <w:t xml:space="preserve">Claude.Ai</w:t>
        </w:r>
      </w:hyperlink>
      <w:r w:rsidDel="00000000" w:rsidR="00000000" w:rsidRPr="00000000">
        <w:rPr>
          <w:rtl w:val="0"/>
        </w:rPr>
      </w:r>
    </w:p>
    <w:p w:rsidR="00000000" w:rsidDel="00000000" w:rsidP="00000000" w:rsidRDefault="00000000" w:rsidRPr="00000000" w14:paraId="0000030D">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prior roundtable work and the current regulatory record together give a rich picture here. This question is analytically distinct from the prior ones — it asks not what the SEC has said, but what policy mechanisms the SEC </w:t>
      </w:r>
      <w:r w:rsidDel="00000000" w:rsidR="00000000" w:rsidRPr="00000000">
        <w:rPr>
          <w:i w:val="1"/>
          <w:iCs w:val="1"/>
          <w:sz w:val="21"/>
          <w:szCs w:val="21"/>
          <w:shd w:fill="f5f5f5" w:val="clear"/>
          <w:rtl w:val="0"/>
        </w:rPr>
        <w:t xml:space="preserve">could</w:t>
      </w:r>
      <w:r w:rsidDel="00000000" w:rsidR="00000000" w:rsidRPr="00000000">
        <w:rPr>
          <w:sz w:val="21"/>
          <w:szCs w:val="21"/>
          <w:shd w:fill="f5f5f5" w:val="clear"/>
          <w:rtl w:val="0"/>
        </w:rPr>
        <w:t xml:space="preserve"> use as indirect levers to regulate DeFi without frontal engagement with decentralized protocols. Let me map these systematically.</w:t>
      </w:r>
    </w:p>
    <w:p w:rsidR="00000000" w:rsidDel="00000000" w:rsidP="00000000" w:rsidRDefault="00000000" w:rsidRPr="00000000" w14:paraId="0000030E">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keepNext w:val="0"/>
        <w:keepLines w:val="0"/>
        <w:spacing w:after="80" w:line="259" w:lineRule="auto"/>
        <w:jc w:val="both"/>
        <w:rPr>
          <w:b w:val="1"/>
          <w:bCs w:val="1"/>
          <w:sz w:val="34"/>
          <w:szCs w:val="34"/>
          <w:shd w:fill="f5f5f5" w:val="clear"/>
        </w:rPr>
      </w:pPr>
      <w:bookmarkStart w:colFirst="0" w:colLast="0" w:name="_61xq2blul5t6" w:id="64"/>
      <w:bookmarkEnd w:id="64"/>
      <w:r w:rsidDel="00000000" w:rsidR="00000000" w:rsidRPr="00000000">
        <w:rPr>
          <w:b w:val="1"/>
          <w:bCs w:val="1"/>
          <w:sz w:val="34"/>
          <w:szCs w:val="34"/>
          <w:shd w:fill="f5f5f5" w:val="clear"/>
          <w:rtl w:val="0"/>
        </w:rPr>
        <w:t xml:space="preserve">SEC Regulatory Proxies for DeFi: Documented Policy Levers</w:t>
      </w:r>
    </w:p>
    <w:p w:rsidR="00000000" w:rsidDel="00000000" w:rsidP="00000000" w:rsidRDefault="00000000" w:rsidRPr="00000000" w14:paraId="00000310">
      <w:pPr>
        <w:pStyle w:val="Heading3"/>
        <w:keepNext w:val="0"/>
        <w:keepLines w:val="0"/>
        <w:spacing w:before="280" w:line="259" w:lineRule="auto"/>
        <w:jc w:val="both"/>
        <w:rPr>
          <w:b w:val="1"/>
          <w:bCs w:val="1"/>
          <w:color w:val="000000"/>
          <w:sz w:val="26"/>
          <w:szCs w:val="26"/>
          <w:shd w:fill="f5f5f5" w:val="clear"/>
        </w:rPr>
      </w:pPr>
      <w:bookmarkStart w:colFirst="0" w:colLast="0" w:name="_vhb4ah9z0d7n" w:id="65"/>
      <w:bookmarkEnd w:id="65"/>
      <w:r w:rsidDel="00000000" w:rsidR="00000000" w:rsidRPr="00000000">
        <w:rPr>
          <w:b w:val="1"/>
          <w:bCs w:val="1"/>
          <w:color w:val="000000"/>
          <w:sz w:val="26"/>
          <w:szCs w:val="26"/>
          <w:shd w:fill="f5f5f5" w:val="clear"/>
          <w:rtl w:val="0"/>
        </w:rPr>
        <w:t xml:space="preserve">The Core Problem the Proxies Are Solving</w:t>
      </w:r>
    </w:p>
    <w:p w:rsidR="00000000" w:rsidDel="00000000" w:rsidP="00000000" w:rsidRDefault="00000000" w:rsidRPr="00000000" w14:paraId="00000311">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SEC's traditional regulatory toolkit — registration, disclosure, broker-dealer requirements — assumes identifiable, accountable intermediaries. DeFi structurally eliminates or obscures those intermediaries. The SEC cannot register a smart contract, sanction a protocol, or require a liquidity pool to file a 10-K.</w:t>
      </w:r>
    </w:p>
    <w:p w:rsidR="00000000" w:rsidDel="00000000" w:rsidP="00000000" w:rsidRDefault="00000000" w:rsidRPr="00000000" w14:paraId="00000312">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roundtable record captures this tension explicitly. Paredes framed it precisely: the US regulatory framework is "very intermediary-centric" and DeFi "at its core, its essence is not that." The question for CRI clients is whether the SEC can achieve its functional objectives — investor protection, market integrity, disclosure — through </w:t>
      </w:r>
      <w:r w:rsidDel="00000000" w:rsidR="00000000" w:rsidRPr="00000000">
        <w:rPr>
          <w:i w:val="1"/>
          <w:iCs w:val="1"/>
          <w:sz w:val="21"/>
          <w:szCs w:val="21"/>
          <w:shd w:fill="f5f5f5" w:val="clear"/>
          <w:rtl w:val="0"/>
        </w:rPr>
        <w:t xml:space="preserve">different attachment points</w:t>
      </w:r>
      <w:r w:rsidDel="00000000" w:rsidR="00000000" w:rsidRPr="00000000">
        <w:rPr>
          <w:sz w:val="21"/>
          <w:szCs w:val="21"/>
          <w:shd w:fill="f5f5f5" w:val="clear"/>
          <w:rtl w:val="0"/>
        </w:rPr>
        <w:t xml:space="preserve"> than the traditional intermediary. Five documented proxy mechanisms emerge from the combined roundtable, written inputs, and current enforcement/guidance record.</w:t>
      </w:r>
    </w:p>
    <w:p w:rsidR="00000000" w:rsidDel="00000000" w:rsidP="00000000" w:rsidRDefault="00000000" w:rsidRPr="00000000" w14:paraId="00000313">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259" w:lineRule="auto"/>
        <w:jc w:val="both"/>
        <w:rPr>
          <w:b w:val="1"/>
          <w:bCs w:val="1"/>
          <w:color w:val="000000"/>
          <w:sz w:val="26"/>
          <w:szCs w:val="26"/>
          <w:shd w:fill="f5f5f5" w:val="clear"/>
        </w:rPr>
      </w:pPr>
      <w:bookmarkStart w:colFirst="0" w:colLast="0" w:name="_egqk8018kfsh" w:id="66"/>
      <w:bookmarkEnd w:id="66"/>
      <w:r w:rsidDel="00000000" w:rsidR="00000000" w:rsidRPr="00000000">
        <w:rPr>
          <w:b w:val="1"/>
          <w:bCs w:val="1"/>
          <w:color w:val="000000"/>
          <w:sz w:val="26"/>
          <w:szCs w:val="26"/>
          <w:shd w:fill="f5f5f5" w:val="clear"/>
          <w:rtl w:val="0"/>
        </w:rPr>
        <w:t xml:space="preserve">Proxy 1: Governance Token Control</w:t>
      </w:r>
    </w:p>
    <w:p w:rsidR="00000000" w:rsidDel="00000000" w:rsidP="00000000" w:rsidRDefault="00000000" w:rsidRPr="00000000" w14:paraId="00000315">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Mechanism</w:t>
      </w:r>
    </w:p>
    <w:p w:rsidR="00000000" w:rsidDel="00000000" w:rsidP="00000000" w:rsidRDefault="00000000" w:rsidRPr="00000000" w14:paraId="00000316">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A governance token that distributes revenue creates securities law obligations — the Howey Test remains central: if token holders expect profits primarily from others' efforts, the token likely qualifies as a security. But the governance token proxy operates beyond simple classification. It provides the SEC with an identifiable, regulatable actor even in nominally decentralized systems: whoever controls governance controls the protocol, and governance token concentration is evidence of continued "efforts of others" for Howey purposes.</w:t>
      </w:r>
    </w:p>
    <w:p w:rsidR="00000000" w:rsidDel="00000000" w:rsidP="00000000" w:rsidRDefault="00000000" w:rsidRPr="00000000" w14:paraId="00000317">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How the Roundtable Record Documents This</w:t>
      </w:r>
    </w:p>
    <w:p w:rsidR="00000000" w:rsidDel="00000000" w:rsidP="00000000" w:rsidRDefault="00000000" w:rsidRPr="00000000" w14:paraId="00000318">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DeFi roundtable surfaced the governance token as a two-edged instrument. Gunter cited on-chain governance as evidence of industry self-regulation — "token holders have a vote in the direction of the project... this is all transparent, enforceable on-chain." But this same transparency is the regulatory attachment point: identifiable governance token holders with upgrade key authority or treasury discretion are the "others" whose efforts create investor expectations under Howey.</w:t>
      </w:r>
    </w:p>
    <w:p w:rsidR="00000000" w:rsidDel="00000000" w:rsidP="00000000" w:rsidRDefault="00000000" w:rsidRPr="00000000" w14:paraId="00000319">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Jennings' "control as unifying principle" argument from the securities definition roundtable is the clearest articulation of how governance token concentration functions as a regulatory proxy. His argument was that </w:t>
      </w:r>
      <w:r w:rsidDel="00000000" w:rsidR="00000000" w:rsidRPr="00000000">
        <w:rPr>
          <w:i w:val="1"/>
          <w:iCs w:val="1"/>
          <w:sz w:val="21"/>
          <w:szCs w:val="21"/>
          <w:shd w:fill="f5f5f5" w:val="clear"/>
          <w:rtl w:val="0"/>
        </w:rPr>
        <w:t xml:space="preserve">absence</w:t>
      </w:r>
      <w:r w:rsidDel="00000000" w:rsidR="00000000" w:rsidRPr="00000000">
        <w:rPr>
          <w:sz w:val="21"/>
          <w:szCs w:val="21"/>
          <w:shd w:fill="f5f5f5" w:val="clear"/>
          <w:rtl w:val="0"/>
        </w:rPr>
        <w:t xml:space="preserve"> of control dissipates the Howey analysis — but the inverse is equally operative: </w:t>
      </w:r>
      <w:r w:rsidDel="00000000" w:rsidR="00000000" w:rsidRPr="00000000">
        <w:rPr>
          <w:i w:val="1"/>
          <w:iCs w:val="1"/>
          <w:sz w:val="21"/>
          <w:szCs w:val="21"/>
          <w:shd w:fill="f5f5f5" w:val="clear"/>
          <w:rtl w:val="0"/>
        </w:rPr>
        <w:t xml:space="preserve">presence</w:t>
      </w:r>
      <w:r w:rsidDel="00000000" w:rsidR="00000000" w:rsidRPr="00000000">
        <w:rPr>
          <w:sz w:val="21"/>
          <w:szCs w:val="21"/>
          <w:shd w:fill="f5f5f5" w:val="clear"/>
          <w:rtl w:val="0"/>
        </w:rPr>
        <w:t xml:space="preserve"> of control through governance token concentration preserves it. A protocol where a foundation holds 40% of governance tokens and can unilaterally pass proposals is not functionally decentralized regardless of its technical architecture.</w:t>
      </w:r>
    </w:p>
    <w:p w:rsidR="00000000" w:rsidDel="00000000" w:rsidP="00000000" w:rsidRDefault="00000000" w:rsidRPr="00000000" w14:paraId="0000031A">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Current SEC Position</w:t>
      </w:r>
    </w:p>
    <w:p w:rsidR="00000000" w:rsidDel="00000000" w:rsidP="00000000" w:rsidRDefault="00000000" w:rsidRPr="00000000" w14:paraId="0000031B">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Proving genuine decentralization requires strong evidence, including distributed token holdings without whale dominance, active on-chain voting with meaningful participation, and automated treasury management without discretionary spending by a central entity. The SEC has not codified these thresholds, but the burden-of-proof structure is clear: the protocol must affirmatively demonstrate governance decentralization to escape the proxy's reach. The Clayton-era Ethereum statement remains the only positive precedent for a protocol satisfying this standard.</w:t>
      </w:r>
    </w:p>
    <w:p w:rsidR="00000000" w:rsidDel="00000000" w:rsidP="00000000" w:rsidRDefault="00000000" w:rsidRPr="00000000" w14:paraId="0000031C">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CRI Intelligence Value</w:t>
      </w:r>
    </w:p>
    <w:p w:rsidR="00000000" w:rsidDel="00000000" w:rsidP="00000000" w:rsidRDefault="00000000" w:rsidRPr="00000000" w14:paraId="0000031D">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Governance token concentration data is publicly verifiable on-chain. A CRI product that tracks governance concentration across major DeFi protocols — cross-referenced against the decentralization threshold arguments advanced in the roundtables — would give compliance teams a real-time signal of which protocols carry elevated Howey exposure. This is a data product your pipeline could generate without requiring subjective regulatory interpretation.</w:t>
      </w:r>
    </w:p>
    <w:p w:rsidR="00000000" w:rsidDel="00000000" w:rsidP="00000000" w:rsidRDefault="00000000" w:rsidRPr="00000000" w14:paraId="0000031E">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259" w:lineRule="auto"/>
        <w:jc w:val="both"/>
        <w:rPr>
          <w:b w:val="1"/>
          <w:bCs w:val="1"/>
          <w:color w:val="000000"/>
          <w:sz w:val="26"/>
          <w:szCs w:val="26"/>
          <w:shd w:fill="f5f5f5" w:val="clear"/>
        </w:rPr>
      </w:pPr>
      <w:bookmarkStart w:colFirst="0" w:colLast="0" w:name="_c1aal7pafgw0" w:id="67"/>
      <w:bookmarkEnd w:id="67"/>
      <w:r w:rsidDel="00000000" w:rsidR="00000000" w:rsidRPr="00000000">
        <w:rPr>
          <w:b w:val="1"/>
          <w:bCs w:val="1"/>
          <w:color w:val="000000"/>
          <w:sz w:val="26"/>
          <w:szCs w:val="26"/>
          <w:shd w:fill="f5f5f5" w:val="clear"/>
          <w:rtl w:val="0"/>
        </w:rPr>
        <w:t xml:space="preserve">Proxy 2: Front-End Interface Regulation</w:t>
      </w:r>
    </w:p>
    <w:p w:rsidR="00000000" w:rsidDel="00000000" w:rsidP="00000000" w:rsidRDefault="00000000" w:rsidRPr="00000000" w14:paraId="00000320">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Mechanism</w:t>
      </w:r>
    </w:p>
    <w:p w:rsidR="00000000" w:rsidDel="00000000" w:rsidP="00000000" w:rsidRDefault="00000000" w:rsidRPr="00000000" w14:paraId="00000321">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Even when underlying protocols are genuinely decentralized and beyond regulatory reach, the user-facing interfaces through which retail investors access those protocols are operated by identifiable companies. Front-end regulation is the cleanest regulatory proxy because it targets the identifiable commercial actor without requiring the SEC to assert jurisdiction over the protocol itself.</w:t>
      </w:r>
    </w:p>
    <w:p w:rsidR="00000000" w:rsidDel="00000000" w:rsidP="00000000" w:rsidRDefault="00000000" w:rsidRPr="00000000" w14:paraId="00000322">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EU treats most DeFi apps as unlicensed unless they have a centralized governance component or fiat on/off-ramp — and there is growing acceptance that regulating DeFi may not mean regulating the code, but rather the interfaces and infrastructure that connect it to the human world.</w:t>
      </w:r>
    </w:p>
    <w:p w:rsidR="00000000" w:rsidDel="00000000" w:rsidP="00000000" w:rsidRDefault="00000000" w:rsidRPr="00000000" w14:paraId="00000323">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How the Roundtable Record Documents This</w:t>
      </w:r>
    </w:p>
    <w:p w:rsidR="00000000" w:rsidDel="00000000" w:rsidP="00000000" w:rsidRDefault="00000000" w:rsidRPr="00000000" w14:paraId="00000324">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DeFi roundtable produced the most direct engagement with this proxy. Van Valkenburgh (Coin Center) argued that front-end operators providing user interfaces are legally distinct from the protocols they access. But Rettig (Jito Labs) and Shapiro (MetaLeX) each acknowledged that front-end operators make business decisions — which protocols to surface, which tokens to list, what disclosures to show — that have functional equivalence to broker-dealer activity.</w:t>
      </w:r>
    </w:p>
    <w:p w:rsidR="00000000" w:rsidDel="00000000" w:rsidP="00000000" w:rsidRDefault="00000000" w:rsidRPr="00000000" w14:paraId="00000325">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SIFMA's written input made the argument for front-end regulation explicitly from the TradFi side: there must be a clear understanding of how DeFi models operate and the extent to which they are supported by intermediaries playing equivalent roles to brokers and exchanges today — front-end interfaces, order-routing tools, liquidity providers, validators, sequencers, developers, and affiliated foundations may each be acting as a broker, dealer, or exchange under the Exchange Act.</w:t>
      </w:r>
    </w:p>
    <w:p w:rsidR="00000000" w:rsidDel="00000000" w:rsidP="00000000" w:rsidRDefault="00000000" w:rsidRPr="00000000" w14:paraId="00000326">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Democratic-led proposals, such as the 2025 DeFi initiative, demand stricter oversight for front-end applications, requiring them to register with the SEC or CFTC and comply with KYC/AML rules. The current administration has not adopted this approach, but the policy mechanism is documented and available.</w:t>
      </w:r>
    </w:p>
    <w:p w:rsidR="00000000" w:rsidDel="00000000" w:rsidP="00000000" w:rsidRDefault="00000000" w:rsidRPr="00000000" w14:paraId="00000327">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Uniswap Precedent</w:t>
      </w:r>
    </w:p>
    <w:p w:rsidR="00000000" w:rsidDel="00000000" w:rsidP="00000000" w:rsidRDefault="00000000" w:rsidRPr="00000000" w14:paraId="00000328">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Uniswap case is the most important front-end enforcement signal in the current record. The SEC investigated whether Uniswap Labs — the company that built and operates the Uniswap front-end — was operating as an unregistered exchange or broker-dealer, even though the underlying Uniswap Protocol is a set of autonomous smart contracts. The case was dropped without enforcement under the current administration, but the </w:t>
      </w:r>
      <w:r w:rsidDel="00000000" w:rsidR="00000000" w:rsidRPr="00000000">
        <w:rPr>
          <w:i w:val="1"/>
          <w:iCs w:val="1"/>
          <w:sz w:val="21"/>
          <w:szCs w:val="21"/>
          <w:shd w:fill="f5f5f5" w:val="clear"/>
          <w:rtl w:val="0"/>
        </w:rPr>
        <w:t xml:space="preserve">theory</w:t>
      </w:r>
      <w:r w:rsidDel="00000000" w:rsidR="00000000" w:rsidRPr="00000000">
        <w:rPr>
          <w:sz w:val="21"/>
          <w:szCs w:val="21"/>
          <w:shd w:fill="f5f5f5" w:val="clear"/>
          <w:rtl w:val="0"/>
        </w:rPr>
        <w:t xml:space="preserve"> — front-end operator as regulated intermediary — was neither litigated nor rejected on the merits. It remains a viable enforcement theory that any future administration could revive.</w:t>
      </w:r>
    </w:p>
    <w:p w:rsidR="00000000" w:rsidDel="00000000" w:rsidP="00000000" w:rsidRDefault="00000000" w:rsidRPr="00000000" w14:paraId="00000329">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CRI Intelligence Value</w:t>
      </w:r>
    </w:p>
    <w:p w:rsidR="00000000" w:rsidDel="00000000" w:rsidP="00000000" w:rsidRDefault="00000000" w:rsidRPr="00000000" w14:paraId="0000032A">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Front-end operator identity is publicly available — companies maintain them, file taxes, employ engineers, and in many cases have received venture funding with documented ownership structures. A CRI tracker mapping major DeFi protocols to their front-end operators, their registered entity status, and their jurisdictional exposure would be a direct compliance intelligence product. The SPBD framework transition your 2026 priorities identify is directly adjacent to this: broker-dealers seeking to offer DeFi access to institutional clients need clarity on whether the front-end they're integrating through carries regulatory obligations that transfer to them.</w:t>
      </w:r>
    </w:p>
    <w:p w:rsidR="00000000" w:rsidDel="00000000" w:rsidP="00000000" w:rsidRDefault="00000000" w:rsidRPr="00000000" w14:paraId="0000032B">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259" w:lineRule="auto"/>
        <w:jc w:val="both"/>
        <w:rPr>
          <w:b w:val="1"/>
          <w:bCs w:val="1"/>
          <w:color w:val="000000"/>
          <w:sz w:val="26"/>
          <w:szCs w:val="26"/>
          <w:shd w:fill="f5f5f5" w:val="clear"/>
        </w:rPr>
      </w:pPr>
      <w:bookmarkStart w:colFirst="0" w:colLast="0" w:name="_4qeuwflgmxg9" w:id="68"/>
      <w:bookmarkEnd w:id="68"/>
      <w:r w:rsidDel="00000000" w:rsidR="00000000" w:rsidRPr="00000000">
        <w:rPr>
          <w:b w:val="1"/>
          <w:bCs w:val="1"/>
          <w:color w:val="000000"/>
          <w:sz w:val="26"/>
          <w:szCs w:val="26"/>
          <w:shd w:fill="f5f5f5" w:val="clear"/>
          <w:rtl w:val="0"/>
        </w:rPr>
        <w:t xml:space="preserve">Proxy 3: Fiat On/Off-Ramp Oversight</w:t>
      </w:r>
    </w:p>
    <w:p w:rsidR="00000000" w:rsidDel="00000000" w:rsidP="00000000" w:rsidRDefault="00000000" w:rsidRPr="00000000" w14:paraId="0000032D">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Mechanism</w:t>
      </w:r>
    </w:p>
    <w:p w:rsidR="00000000" w:rsidDel="00000000" w:rsidP="00000000" w:rsidRDefault="00000000" w:rsidRPr="00000000" w14:paraId="0000032E">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Every DeFi transaction that originates or terminates in dollars passes through a fiat on/off-ramp — a Money Services Business or bank regulated under Bank Secrecy Act / FinCEN frameworks, and in many cases a registered broker-dealer or ATS. These are the mandatory chokepoints where the regulated financial system intersects with decentralized protocols.</w:t>
      </w:r>
    </w:p>
    <w:p w:rsidR="00000000" w:rsidDel="00000000" w:rsidP="00000000" w:rsidRDefault="00000000" w:rsidRPr="00000000" w14:paraId="0000032F">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KYC and AML requirements for on-ramps and off-ramps include Know Your Customer requirements at onboarding, continuous sanctions screening, transaction monitoring for both fiat and crypto, and Travel Rule compliance for transfers between providers. The on/off-ramp is already regulated — the question is whether that regulation can serve as a proxy for investor protection obligations that the SEC cannot attach directly to DeFi protocols.</w:t>
      </w:r>
    </w:p>
    <w:p w:rsidR="00000000" w:rsidDel="00000000" w:rsidP="00000000" w:rsidRDefault="00000000" w:rsidRPr="00000000" w14:paraId="00000330">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How the Roundtable Record Documents This</w:t>
      </w:r>
    </w:p>
    <w:p w:rsidR="00000000" w:rsidDel="00000000" w:rsidP="00000000" w:rsidRDefault="00000000" w:rsidRPr="00000000" w14:paraId="00000331">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Mosier's FinCEN background made the on/off-ramp proxy the most technically sophisticated contribution to the DeFi roundtable. His argument — that the regulatory framework should follow </w:t>
      </w:r>
      <w:r w:rsidDel="00000000" w:rsidR="00000000" w:rsidRPr="00000000">
        <w:rPr>
          <w:i w:val="1"/>
          <w:iCs w:val="1"/>
          <w:sz w:val="21"/>
          <w:szCs w:val="21"/>
          <w:shd w:fill="f5f5f5" w:val="clear"/>
          <w:rtl w:val="0"/>
        </w:rPr>
        <w:t xml:space="preserve">risk functions</w:t>
      </w:r>
      <w:r w:rsidDel="00000000" w:rsidR="00000000" w:rsidRPr="00000000">
        <w:rPr>
          <w:sz w:val="21"/>
          <w:szCs w:val="21"/>
          <w:shd w:fill="f5f5f5" w:val="clear"/>
          <w:rtl w:val="0"/>
        </w:rPr>
        <w:t xml:space="preserve"> rather than institutional forms, the same way FinCEN's treatment of telegraphs evolved from "financial institution" to "data transmitter" — implicitly identifies the on/off-ramp as the appropriate functional locus of financial regulation. The communication layer (DeFi protocols) should not be regulated; the financial activity layer (fiat conversion) should.</w:t>
      </w:r>
    </w:p>
    <w:p w:rsidR="00000000" w:rsidDel="00000000" w:rsidP="00000000" w:rsidRDefault="00000000" w:rsidRPr="00000000" w14:paraId="00000332">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SEC's existing authority over broker-dealers who act as on/off-ramps is comprehensive. A registered broker-dealer offering crypto-to-fiat conversion services is already subject to customer protection rules, net capital requirements, AML obligations, and in some cases disclosure requirements. The gap is that many on/off-ramps are MSBs rather than broker-dealers, and the MSB framework does not carry SEC investor protection obligations.</w:t>
      </w:r>
    </w:p>
    <w:p w:rsidR="00000000" w:rsidDel="00000000" w:rsidP="00000000" w:rsidRDefault="00000000" w:rsidRPr="00000000" w14:paraId="00000333">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GENIUS Act's Contribution</w:t>
      </w:r>
    </w:p>
    <w:p w:rsidR="00000000" w:rsidDel="00000000" w:rsidP="00000000" w:rsidRDefault="00000000" w:rsidRPr="00000000" w14:paraId="00000334">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GENIUS Act partially operationalizes the on/off-ramp proxy for stablecoins by making permitted stablecoin issuers "financial institutions" under the Bank Secrecy Act, triggering full AML/CFT obligations at the stablecoin layer. The parts of the market that touch traditional finance most directly — stablecoins used for payments, exchange-traded products, and regulated custody — got clearer rails in 2025. But for non-stablecoin DeFi, the on/off-ramp proxy remains implemented only through FinCEN/MSB regulation, not SEC investor protection frameworks.</w:t>
      </w:r>
    </w:p>
    <w:p w:rsidR="00000000" w:rsidDel="00000000" w:rsidP="00000000" w:rsidRDefault="00000000" w:rsidRPr="00000000" w14:paraId="00000335">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CRI Intelligence Value</w:t>
      </w:r>
    </w:p>
    <w:p w:rsidR="00000000" w:rsidDel="00000000" w:rsidP="00000000" w:rsidRDefault="00000000" w:rsidRPr="00000000" w14:paraId="00000336">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gap between MSB-regulated on/off-ramps and SEC-regulated broker-dealers is the SPBD opportunity. Institutional clients wanting DeFi access through a regulated entity need an intermediary that carries both BSA/AML obligations (for the financial integrity dimension) and broker-dealer obligations (for the investor protection dimension). The SPBD framework is the only current US mechanism that potentially covers both — which is why it's on your 2026 priority list and why the Commissioner Peirce ATS/exchange RFI from December 2025 is directly relevant.</w:t>
      </w:r>
    </w:p>
    <w:p w:rsidR="00000000" w:rsidDel="00000000" w:rsidP="00000000" w:rsidRDefault="00000000" w:rsidRPr="00000000" w14:paraId="00000337">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259" w:lineRule="auto"/>
        <w:jc w:val="both"/>
        <w:rPr>
          <w:b w:val="1"/>
          <w:bCs w:val="1"/>
          <w:color w:val="000000"/>
          <w:sz w:val="26"/>
          <w:szCs w:val="26"/>
          <w:shd w:fill="f5f5f5" w:val="clear"/>
        </w:rPr>
      </w:pPr>
      <w:bookmarkStart w:colFirst="0" w:colLast="0" w:name="_li9afi7zxddb" w:id="69"/>
      <w:bookmarkEnd w:id="69"/>
      <w:r w:rsidDel="00000000" w:rsidR="00000000" w:rsidRPr="00000000">
        <w:rPr>
          <w:b w:val="1"/>
          <w:bCs w:val="1"/>
          <w:color w:val="000000"/>
          <w:sz w:val="26"/>
          <w:szCs w:val="26"/>
          <w:shd w:fill="f5f5f5" w:val="clear"/>
          <w:rtl w:val="0"/>
        </w:rPr>
        <w:t xml:space="preserve">Proxy 4: Liquidity Provider and Validator Registration</w:t>
      </w:r>
    </w:p>
    <w:p w:rsidR="00000000" w:rsidDel="00000000" w:rsidP="00000000" w:rsidRDefault="00000000" w:rsidRPr="00000000" w14:paraId="00000339">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Mechanism</w:t>
      </w:r>
    </w:p>
    <w:p w:rsidR="00000000" w:rsidDel="00000000" w:rsidP="00000000" w:rsidRDefault="00000000" w:rsidRPr="00000000" w14:paraId="0000033A">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This is the most contested and least developed of the proxy mechanisms, but it is documented in both the roundtable record and SIFMA's written input. In DeFi markets, liquidity providers (LPs) who deposit assets into AMMs and validators/sequencers who order transactions perform functions economically equivalent to market makers and exchange operators in traditional markets. If these actors can be characterized as performing exchange or broker functions under the Exchange Act, they become regulatable intermediaries even within ostensibly decentralized systems.</w:t>
      </w:r>
    </w:p>
    <w:p w:rsidR="00000000" w:rsidDel="00000000" w:rsidP="00000000" w:rsidRDefault="00000000" w:rsidRPr="00000000" w14:paraId="0000033B">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De-facto intermediary functions are performed in many if not most DeFi markets — including front-end interfaces, order-routing tools, liquidity providers, validators, sequencers, developers, and affiliated foundations — any of which may be acting as a broker, dealer, or exchange under the Exchange Act.</w:t>
      </w:r>
    </w:p>
    <w:p w:rsidR="00000000" w:rsidDel="00000000" w:rsidP="00000000" w:rsidRDefault="00000000" w:rsidRPr="00000000" w14:paraId="0000033C">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Roundtable Counterargument</w:t>
      </w:r>
    </w:p>
    <w:p w:rsidR="00000000" w:rsidDel="00000000" w:rsidP="00000000" w:rsidRDefault="00000000" w:rsidRPr="00000000" w14:paraId="0000033D">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This proxy faces the strongest pushback in the roundtable record. Voorhees argued that smart contracts are "machines of perfect regulation" that execute without human discretion — the definitional element of exchange and broker-dealer activity. Van Valkenburgh's Coin Center arguments on protocol neutrality go directly at this: a validator that cannot distinguish between transaction types or exercise any ordering discretion beyond fee maximization is not making the kind of choices that regulatory intermediary status contemplates.</w:t>
      </w:r>
    </w:p>
    <w:p w:rsidR="00000000" w:rsidDel="00000000" w:rsidP="00000000" w:rsidRDefault="00000000" w:rsidRPr="00000000" w14:paraId="0000033E">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practical implementation problem is severe: LP positions rotate continuously, validators change with each block, and sequencers on some L2s do have discretionary ordering authority while others operate through commit-reveal schemes that eliminate it. The SEC would need protocol-by-protocol technical analysis to apply this proxy, which is why it has not been operationalized in current guidance.</w:t>
      </w:r>
    </w:p>
    <w:p w:rsidR="00000000" w:rsidDel="00000000" w:rsidP="00000000" w:rsidRDefault="00000000" w:rsidRPr="00000000" w14:paraId="0000033F">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Current Status</w:t>
      </w:r>
    </w:p>
    <w:p w:rsidR="00000000" w:rsidDel="00000000" w:rsidP="00000000" w:rsidRDefault="00000000" w:rsidRPr="00000000" w14:paraId="00000340">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Trump administration's DeFi broker rule reversal — Trump signed a resolution to nullify digital asset reporting requirements of DeFi brokers — explicitly walked back the most aggressive version of this proxy for tax reporting purposes. But the IRS rule reversal is not binding on the SEC's own interpretation of Exchange Act intermediary definitions. The proxy remains available in theory even as the current administration declines to deploy it.</w:t>
      </w:r>
    </w:p>
    <w:p w:rsidR="00000000" w:rsidDel="00000000" w:rsidP="00000000" w:rsidRDefault="00000000" w:rsidRPr="00000000" w14:paraId="00000341">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3"/>
        <w:keepNext w:val="0"/>
        <w:keepLines w:val="0"/>
        <w:spacing w:before="280" w:line="259" w:lineRule="auto"/>
        <w:jc w:val="both"/>
        <w:rPr>
          <w:b w:val="1"/>
          <w:bCs w:val="1"/>
          <w:color w:val="000000"/>
          <w:sz w:val="26"/>
          <w:szCs w:val="26"/>
          <w:shd w:fill="f5f5f5" w:val="clear"/>
        </w:rPr>
      </w:pPr>
      <w:bookmarkStart w:colFirst="0" w:colLast="0" w:name="_lvhjwynzeswu" w:id="70"/>
      <w:bookmarkEnd w:id="70"/>
      <w:r w:rsidDel="00000000" w:rsidR="00000000" w:rsidRPr="00000000">
        <w:rPr>
          <w:b w:val="1"/>
          <w:bCs w:val="1"/>
          <w:color w:val="000000"/>
          <w:sz w:val="26"/>
          <w:szCs w:val="26"/>
          <w:shd w:fill="f5f5f5" w:val="clear"/>
          <w:rtl w:val="0"/>
        </w:rPr>
        <w:t xml:space="preserve">Proxy 5: Token Issuer Ongoing Disclosure Obligations</w:t>
      </w:r>
    </w:p>
    <w:p w:rsidR="00000000" w:rsidDel="00000000" w:rsidP="00000000" w:rsidRDefault="00000000" w:rsidRPr="00000000" w14:paraId="00000343">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The Mechanism</w:t>
      </w:r>
    </w:p>
    <w:p w:rsidR="00000000" w:rsidDel="00000000" w:rsidP="00000000" w:rsidRDefault="00000000" w:rsidRPr="00000000" w14:paraId="00000344">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Even where a token itself may not be a security in secondary trading (the </w:t>
      </w:r>
      <w:r w:rsidDel="00000000" w:rsidR="00000000" w:rsidRPr="00000000">
        <w:rPr>
          <w:i w:val="1"/>
          <w:iCs w:val="1"/>
          <w:sz w:val="21"/>
          <w:szCs w:val="21"/>
          <w:shd w:fill="f5f5f5" w:val="clear"/>
          <w:rtl w:val="0"/>
        </w:rPr>
        <w:t xml:space="preserve">Ripple</w:t>
      </w:r>
      <w:r w:rsidDel="00000000" w:rsidR="00000000" w:rsidRPr="00000000">
        <w:rPr>
          <w:sz w:val="21"/>
          <w:szCs w:val="21"/>
          <w:shd w:fill="f5f5f5" w:val="clear"/>
          <w:rtl w:val="0"/>
        </w:rPr>
        <w:t xml:space="preserve"> secondary market holding), the </w:t>
      </w:r>
      <w:r w:rsidDel="00000000" w:rsidR="00000000" w:rsidRPr="00000000">
        <w:rPr>
          <w:i w:val="1"/>
          <w:iCs w:val="1"/>
          <w:sz w:val="21"/>
          <w:szCs w:val="21"/>
          <w:shd w:fill="f5f5f5" w:val="clear"/>
          <w:rtl w:val="0"/>
        </w:rPr>
        <w:t xml:space="preserve">original issuer</w:t>
      </w:r>
      <w:r w:rsidDel="00000000" w:rsidR="00000000" w:rsidRPr="00000000">
        <w:rPr>
          <w:sz w:val="21"/>
          <w:szCs w:val="21"/>
          <w:shd w:fill="f5f5f5" w:val="clear"/>
          <w:rtl w:val="0"/>
        </w:rPr>
        <w:t xml:space="preserve"> retains potential ongoing disclosure obligations if the token was initially sold as part of an investment contract. This proxy targets the identifiable issuer rather than the protocol, using the original sale as jurisdictional hook for ongoing regulatory requirements.</w:t>
      </w:r>
    </w:p>
    <w:p w:rsidR="00000000" w:rsidDel="00000000" w:rsidP="00000000" w:rsidRDefault="00000000" w:rsidRPr="00000000" w14:paraId="00000345">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fee switch discussion from the roundtable is the specific operational trigger for this proxy. Seira identified the "fee switch" — the activation of protocol revenue distribution to token holders — as the key issue. Once activated, revenue distribution creates an expectation of profit from the protocol's efforts, potentially reviving Howey coverage even for tokens whose secondary trading had been characterized as commodity-like.</w:t>
      </w:r>
    </w:p>
    <w:p w:rsidR="00000000" w:rsidDel="00000000" w:rsidP="00000000" w:rsidRDefault="00000000" w:rsidRPr="00000000" w14:paraId="00000346">
      <w:pPr>
        <w:spacing w:after="240" w:before="240" w:line="259" w:lineRule="auto"/>
        <w:jc w:val="both"/>
        <w:rPr>
          <w:b w:val="1"/>
          <w:bCs w:val="1"/>
          <w:sz w:val="21"/>
          <w:szCs w:val="21"/>
          <w:shd w:fill="f5f5f5" w:val="clear"/>
        </w:rPr>
      </w:pPr>
      <w:r w:rsidDel="00000000" w:rsidR="00000000" w:rsidRPr="00000000">
        <w:rPr>
          <w:b w:val="1"/>
          <w:bCs w:val="1"/>
          <w:sz w:val="21"/>
          <w:szCs w:val="21"/>
          <w:shd w:fill="f5f5f5" w:val="clear"/>
          <w:rtl w:val="0"/>
        </w:rPr>
        <w:t xml:space="preserve">Current SEC Position</w:t>
      </w:r>
    </w:p>
    <w:p w:rsidR="00000000" w:rsidDel="00000000" w:rsidP="00000000" w:rsidRDefault="00000000" w:rsidRPr="00000000" w14:paraId="00000347">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The current task force has not published guidance on ongoing issuer obligations for initially-compliant token offerings. But the written inputs record shows this is an active question: open questions include what requirements should or will apply to DeFi protocols and DEXs that offer tokenized securities as well as their associated intermediaries.</w:t>
      </w:r>
    </w:p>
    <w:p w:rsidR="00000000" w:rsidDel="00000000" w:rsidP="00000000" w:rsidRDefault="00000000" w:rsidRPr="00000000" w14:paraId="00000348">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Commissioner Crenshaw's dissent on the stablecoin statement is instructive on the direction of minority thinking: her concern that intermediaries who actually pay stablecoin holders — rather than the issuer — create different legal exposure suggests she views the commercial relationships around a token as continuing to matter for regulatory purposes even after initial issuance.</w:t>
      </w:r>
    </w:p>
    <w:p w:rsidR="00000000" w:rsidDel="00000000" w:rsidP="00000000" w:rsidRDefault="00000000" w:rsidRPr="00000000" w14:paraId="00000349">
      <w:pPr>
        <w:spacing w:after="240" w:before="240" w:line="259" w:lineRule="auto"/>
        <w:jc w:val="both"/>
        <w:rPr>
          <w:sz w:val="21"/>
          <w:szCs w:val="21"/>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259" w:lineRule="auto"/>
        <w:jc w:val="both"/>
        <w:rPr>
          <w:b w:val="1"/>
          <w:bCs w:val="1"/>
          <w:color w:val="000000"/>
          <w:sz w:val="26"/>
          <w:szCs w:val="26"/>
          <w:shd w:fill="f5f5f5" w:val="clear"/>
        </w:rPr>
      </w:pPr>
      <w:bookmarkStart w:colFirst="0" w:colLast="0" w:name="_lyf6v68bv8bg" w:id="71"/>
      <w:bookmarkEnd w:id="71"/>
      <w:r w:rsidDel="00000000" w:rsidR="00000000" w:rsidRPr="00000000">
        <w:rPr>
          <w:b w:val="1"/>
          <w:bCs w:val="1"/>
          <w:color w:val="000000"/>
          <w:sz w:val="26"/>
          <w:szCs w:val="26"/>
          <w:shd w:fill="f5f5f5" w:val="clear"/>
          <w:rtl w:val="0"/>
        </w:rPr>
        <w:t xml:space="preserve">Synthesis: A Policy Lever Priority Map for CRI Clients</w:t>
      </w:r>
    </w:p>
    <w:p w:rsidR="00000000" w:rsidDel="00000000" w:rsidP="00000000" w:rsidRDefault="00000000" w:rsidRPr="00000000" w14:paraId="0000034B">
      <w:pPr>
        <w:spacing w:after="240" w:before="240" w:line="259" w:lineRule="auto"/>
        <w:jc w:val="both"/>
        <w:rPr>
          <w:sz w:val="21"/>
          <w:szCs w:val="21"/>
          <w:shd w:fill="f5f5f5" w:val="clear"/>
        </w:rPr>
      </w:pPr>
      <w:r w:rsidDel="00000000" w:rsidR="00000000" w:rsidRPr="00000000">
        <w:rPr>
          <w:sz w:val="21"/>
          <w:szCs w:val="21"/>
          <w:shd w:fill="f5f5f5" w:val="clear"/>
          <w:rtl w:val="0"/>
        </w:rPr>
        <w:t xml:space="preserve">Mapping the five proxies against two dimensions — </w:t>
      </w:r>
      <w:r w:rsidDel="00000000" w:rsidR="00000000" w:rsidRPr="00000000">
        <w:rPr>
          <w:i w:val="1"/>
          <w:iCs w:val="1"/>
          <w:sz w:val="21"/>
          <w:szCs w:val="21"/>
          <w:shd w:fill="f5f5f5" w:val="clear"/>
          <w:rtl w:val="0"/>
        </w:rPr>
        <w:t xml:space="preserve">current SEC activation likelihood</w:t>
      </w:r>
      <w:r w:rsidDel="00000000" w:rsidR="00000000" w:rsidRPr="00000000">
        <w:rPr>
          <w:sz w:val="21"/>
          <w:szCs w:val="21"/>
          <w:shd w:fill="f5f5f5" w:val="clear"/>
          <w:rtl w:val="0"/>
        </w:rPr>
        <w:t xml:space="preserve"> and </w:t>
      </w:r>
      <w:r w:rsidDel="00000000" w:rsidR="00000000" w:rsidRPr="00000000">
        <w:rPr>
          <w:i w:val="1"/>
          <w:iCs w:val="1"/>
          <w:sz w:val="21"/>
          <w:szCs w:val="21"/>
          <w:shd w:fill="f5f5f5" w:val="clear"/>
          <w:rtl w:val="0"/>
        </w:rPr>
        <w:t xml:space="preserve">compliance exposure immediacy</w:t>
      </w:r>
      <w:r w:rsidDel="00000000" w:rsidR="00000000" w:rsidRPr="00000000">
        <w:rPr>
          <w:sz w:val="21"/>
          <w:szCs w:val="21"/>
          <w:shd w:fill="f5f5f5" w:val="clear"/>
          <w:rtl w:val="0"/>
        </w:rPr>
        <w:t xml:space="preserve"> — produces a practical prioritization:</w:t>
      </w:r>
    </w:p>
    <w:p w:rsidR="00000000" w:rsidDel="00000000" w:rsidP="00000000" w:rsidRDefault="00000000" w:rsidRPr="00000000" w14:paraId="0000034C">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Highest Priority (active and imminent):</w:t>
      </w:r>
      <w:r w:rsidDel="00000000" w:rsidR="00000000" w:rsidRPr="00000000">
        <w:rPr>
          <w:sz w:val="21"/>
          <w:szCs w:val="21"/>
          <w:shd w:fill="f5f5f5" w:val="clear"/>
          <w:rtl w:val="0"/>
        </w:rPr>
        <w:t xml:space="preserve"> Governance token control and front-end interface regulation are both documented in current SEC thinking, have precedent in enforcement theories the current administration declined to pursue but did not repudiate, and are directly relevant to SPBD framework design. Clients building DeFi access products need governance concentration analysis and front-end operator status clarity now.</w:t>
      </w:r>
    </w:p>
    <w:p w:rsidR="00000000" w:rsidDel="00000000" w:rsidP="00000000" w:rsidRDefault="00000000" w:rsidRPr="00000000" w14:paraId="0000034D">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Medium Priority (infrastructure being built):</w:t>
      </w:r>
      <w:r w:rsidDel="00000000" w:rsidR="00000000" w:rsidRPr="00000000">
        <w:rPr>
          <w:sz w:val="21"/>
          <w:szCs w:val="21"/>
          <w:shd w:fill="f5f5f5" w:val="clear"/>
          <w:rtl w:val="0"/>
        </w:rPr>
        <w:t xml:space="preserve"> Fiat on/off-ramp oversight via the GENIUS Act and SPBD framework is the 2026 regulatory frontier. The regulatory architecture is being assembled — GENIUS Act reserve requirements, broker-dealer stablecoin custody guidance, CFTC stablecoin margin no-action letter — but the integration into a comprehensive on/off-ramp regulatory framework is incomplete.</w:t>
      </w:r>
    </w:p>
    <w:p w:rsidR="00000000" w:rsidDel="00000000" w:rsidP="00000000" w:rsidRDefault="00000000" w:rsidRPr="00000000" w14:paraId="0000034E">
      <w:pPr>
        <w:spacing w:after="240" w:before="240" w:line="259" w:lineRule="auto"/>
        <w:jc w:val="both"/>
        <w:rPr>
          <w:sz w:val="21"/>
          <w:szCs w:val="21"/>
          <w:shd w:fill="f5f5f5" w:val="clear"/>
        </w:rPr>
      </w:pPr>
      <w:r w:rsidDel="00000000" w:rsidR="00000000" w:rsidRPr="00000000">
        <w:rPr>
          <w:b w:val="1"/>
          <w:bCs w:val="1"/>
          <w:sz w:val="21"/>
          <w:szCs w:val="21"/>
          <w:shd w:fill="f5f5f5" w:val="clear"/>
          <w:rtl w:val="0"/>
        </w:rPr>
        <w:t xml:space="preserve">Monitoring Priority (available but politically blocked):</w:t>
      </w:r>
      <w:r w:rsidDel="00000000" w:rsidR="00000000" w:rsidRPr="00000000">
        <w:rPr>
          <w:sz w:val="21"/>
          <w:szCs w:val="21"/>
          <w:shd w:fill="f5f5f5" w:val="clear"/>
          <w:rtl w:val="0"/>
        </w:rPr>
        <w:t xml:space="preserve"> LP/validator registration and fee-switch issuer obligations are legally available but currently dormant under the Atkins administration. They are the highest-durability risk for clients who are building DeFi protocols expecting the current guidance environment to persist beyond 2028. The policy lock-in concern Reiners raised in the securities definition roundtable applies here: the longer these proxies remain dormant while markets build around their absence, the harder they are to activate — but they don't disappear from the legal toolkit.</w:t>
      </w:r>
    </w:p>
    <w:p w:rsidR="00000000" w:rsidDel="00000000" w:rsidP="00000000" w:rsidRDefault="00000000" w:rsidRPr="00000000" w14:paraId="0000034F">
      <w:pPr>
        <w:spacing w:after="240" w:before="240" w:line="259" w:lineRule="auto"/>
        <w:jc w:val="both"/>
        <w:rPr>
          <w:sz w:val="21"/>
          <w:szCs w:val="21"/>
          <w:shd w:fill="f5f5f5"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rFonts w:ascii="Arial" w:cs="Arial" w:eastAsia="Arial" w:hAnsi="Arial"/>
        <w:color w:val="f5f5f5"/>
        <w:u w:val="none"/>
      </w:rPr>
    </w:lvl>
    <w:lvl w:ilvl="3">
      <w:start w:val="1"/>
      <w:numFmt w:val="bullet"/>
      <w:lvlText w:val="■"/>
      <w:lvlJc w:val="left"/>
      <w:pPr>
        <w:ind w:left="2880" w:hanging="360"/>
      </w:pPr>
      <w:rPr>
        <w:rFonts w:ascii="Arial" w:cs="Arial" w:eastAsia="Arial" w:hAnsi="Arial"/>
        <w:color w:val="f5f5f5"/>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4"/>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2"/>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3"/>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3"/>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rFonts w:ascii="Arial" w:cs="Arial" w:eastAsia="Arial" w:hAnsi="Arial"/>
        <w:color w:val="f5f5f5"/>
        <w:u w:val="none"/>
      </w:rPr>
    </w:lvl>
    <w:lvl w:ilvl="3">
      <w:start w:val="1"/>
      <w:numFmt w:val="bullet"/>
      <w:lvlText w:val="■"/>
      <w:lvlJc w:val="left"/>
      <w:pPr>
        <w:ind w:left="2880" w:hanging="360"/>
      </w:pPr>
      <w:rPr>
        <w:rFonts w:ascii="Arial" w:cs="Arial" w:eastAsia="Arial" w:hAnsi="Arial"/>
        <w:color w:val="f5f5f5"/>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6"/>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2"/>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4"/>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2"/>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4"/>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2"/>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5"/>
      <w:numFmt w:val="decimal"/>
      <w:lvlText w:val="%1."/>
      <w:lvlJc w:val="left"/>
      <w:pPr>
        <w:ind w:left="720" w:hanging="360"/>
      </w:pPr>
      <w:rPr>
        <w:rFonts w:ascii="Arial" w:cs="Arial" w:eastAsia="Arial" w:hAnsi="Arial"/>
        <w:color w:val="f5f5f5"/>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rFonts w:ascii="Arial" w:cs="Arial" w:eastAsia="Arial" w:hAnsi="Arial"/>
        <w:color w:val="f5f5f5"/>
        <w:u w:val="none"/>
      </w:rPr>
    </w:lvl>
    <w:lvl w:ilvl="3">
      <w:start w:val="1"/>
      <w:numFmt w:val="bullet"/>
      <w:lvlText w:val="■"/>
      <w:lvlJc w:val="left"/>
      <w:pPr>
        <w:ind w:left="2880" w:hanging="360"/>
      </w:pPr>
      <w:rPr>
        <w:rFonts w:ascii="Arial" w:cs="Arial" w:eastAsia="Arial" w:hAnsi="Arial"/>
        <w:color w:val="f5f5f5"/>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rFonts w:ascii="Arial" w:cs="Arial" w:eastAsia="Arial" w:hAnsi="Arial"/>
        <w:color w:val="f5f5f5"/>
        <w:u w:val="none"/>
      </w:rPr>
    </w:lvl>
    <w:lvl w:ilvl="2">
      <w:start w:val="1"/>
      <w:numFmt w:val="bullet"/>
      <w:lvlText w:val="■"/>
      <w:lvlJc w:val="left"/>
      <w:pPr>
        <w:ind w:left="2160" w:hanging="360"/>
      </w:pPr>
      <w:rPr>
        <w:rFonts w:ascii="Arial" w:cs="Arial" w:eastAsia="Arial" w:hAnsi="Arial"/>
        <w:color w:val="f5f5f5"/>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f5f5f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erplexity.ai" TargetMode="External"/><Relationship Id="rId84" Type="http://schemas.openxmlformats.org/officeDocument/2006/relationships/hyperlink" Target="https://www.sec.gov/files/tdc-response-051225.pdf" TargetMode="External"/><Relationship Id="rId83" Type="http://schemas.openxmlformats.org/officeDocument/2006/relationships/hyperlink" Target="https://www.sec.gov/files/wintermute-response-sec-090325.pdf" TargetMode="External"/><Relationship Id="rId42" Type="http://schemas.openxmlformats.org/officeDocument/2006/relationships/hyperlink" Target="https://www.sec.gov/newsroom/speeches-statements/peirce-statement-rfi-022125" TargetMode="External"/><Relationship Id="rId86" Type="http://schemas.openxmlformats.org/officeDocument/2006/relationships/hyperlink" Target="https://www.sec.gov/files/ah-capital-management-a16z.pdf" TargetMode="External"/><Relationship Id="rId41" Type="http://schemas.openxmlformats.org/officeDocument/2006/relationships/hyperlink" Target="http://claudie.ai" TargetMode="External"/><Relationship Id="rId85" Type="http://schemas.openxmlformats.org/officeDocument/2006/relationships/hyperlink" Target="https://www.sec.gov/files/ctf-blockchain-association-062625.pdf" TargetMode="External"/><Relationship Id="rId44" Type="http://schemas.openxmlformats.org/officeDocument/2006/relationships/hyperlink" Target="https://www.sec.gov/files/ctf-input-figure-markets-3-25-25.pdf" TargetMode="External"/><Relationship Id="rId88" Type="http://schemas.openxmlformats.org/officeDocument/2006/relationships/hyperlink" Target="http://perplexity.ai" TargetMode="External"/><Relationship Id="rId43" Type="http://schemas.openxmlformats.org/officeDocument/2006/relationships/hyperlink" Target="https://www.sec.gov/files/ctf-written-input-pwc-050225.pdf" TargetMode="External"/><Relationship Id="rId87" Type="http://schemas.openxmlformats.org/officeDocument/2006/relationships/hyperlink" Target="https://www.sec.gov/newsroom/speeches-statements/peirce-remarks-sec-speaks-051925-new-paradigm-remarks-sec-speaks" TargetMode="External"/><Relationship Id="rId46" Type="http://schemas.openxmlformats.org/officeDocument/2006/relationships/hyperlink" Target="https://www.sec.gov/files/ctf-written-input-aicpa-042125.pdf" TargetMode="External"/><Relationship Id="rId45" Type="http://schemas.openxmlformats.org/officeDocument/2006/relationships/hyperlink" Target="https://www.sec.gov/files/ctf-input-smith-2025-3-20.pdf" TargetMode="External"/><Relationship Id="rId89" Type="http://schemas.openxmlformats.org/officeDocument/2006/relationships/hyperlink" Target="https://www.sec.gov/newsroom/speeches-statements/atkins-111225-secs-approach-digital-assets-inside-project-crypto" TargetMode="External"/><Relationship Id="rId80" Type="http://schemas.openxmlformats.org/officeDocument/2006/relationships/hyperlink" Target="https://www.sec.gov/files/phantom-technologies-061725.pdf" TargetMode="External"/><Relationship Id="rId82" Type="http://schemas.openxmlformats.org/officeDocument/2006/relationships/hyperlink" Target="https://www.sec.gov/files/ctf-memo-inx-securities-llc-inx-digital-company-inc-061725.pdf" TargetMode="External"/><Relationship Id="rId81" Type="http://schemas.openxmlformats.org/officeDocument/2006/relationships/hyperlink" Target="https://www.sec.gov/files/ctf-written-agc-bpi-fsf-custody-comment-ltr-0918202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c.gov/files/ctf-input-daugherty-2025-3-20.pdf" TargetMode="External"/><Relationship Id="rId48" Type="http://schemas.openxmlformats.org/officeDocument/2006/relationships/hyperlink" Target="https://www.sec.gov/files/ctf-memo-computershare-limited-072825.pdf" TargetMode="External"/><Relationship Id="rId47" Type="http://schemas.openxmlformats.org/officeDocument/2006/relationships/hyperlink" Target="https://www.sec.gov/files/ctf-written-input-keen-043025.pdf" TargetMode="External"/><Relationship Id="rId49" Type="http://schemas.openxmlformats.org/officeDocument/2006/relationships/hyperlink" Target="https://www.sec.gov/newsroom/speeches-statements/peirce-statement-rfi-022125" TargetMode="External"/><Relationship Id="rId5" Type="http://schemas.openxmlformats.org/officeDocument/2006/relationships/styles" Target="styles.xml"/><Relationship Id="rId6" Type="http://schemas.openxmlformats.org/officeDocument/2006/relationships/hyperlink" Target="http://perplexity.ai" TargetMode="External"/><Relationship Id="rId7" Type="http://schemas.openxmlformats.org/officeDocument/2006/relationships/hyperlink" Target="https://www.sec.gov/files/ctf-input-reiners-2025-3-18.pdf" TargetMode="External"/><Relationship Id="rId8" Type="http://schemas.openxmlformats.org/officeDocument/2006/relationships/hyperlink" Target="https://www.sec.gov/newsroom/speeches-statements/peirce-how-we-howey-050919" TargetMode="External"/><Relationship Id="rId73" Type="http://schemas.openxmlformats.org/officeDocument/2006/relationships/hyperlink" Target="http://perplexity.ai" TargetMode="External"/><Relationship Id="rId72" Type="http://schemas.openxmlformats.org/officeDocument/2006/relationships/hyperlink" Target="http://claude.ai" TargetMode="External"/><Relationship Id="rId31" Type="http://schemas.openxmlformats.org/officeDocument/2006/relationships/hyperlink" Target="https://www.lw.com/en/insights/the-genius-act-of-2025-stablecoin-legislation-adopted-in-the-us" TargetMode="External"/><Relationship Id="rId75" Type="http://schemas.openxmlformats.org/officeDocument/2006/relationships/hyperlink" Target="https://www.sec.gov/files/dlt-framework.pdf" TargetMode="External"/><Relationship Id="rId30" Type="http://schemas.openxmlformats.org/officeDocument/2006/relationships/hyperlink" Target="https://www.lw.com/en/insights/the-genius-act-of-2025-stablecoin-legislation-adopted-in-the-us" TargetMode="External"/><Relationship Id="rId74" Type="http://schemas.openxmlformats.org/officeDocument/2006/relationships/hyperlink" Target="http://claude.ai" TargetMode="External"/><Relationship Id="rId33" Type="http://schemas.openxmlformats.org/officeDocument/2006/relationships/hyperlink" Target="https://www.sec.gov/newsroom/speeches-statements/atkins-remarks-crypto-roundtable-tokenization-051225" TargetMode="External"/><Relationship Id="rId77" Type="http://schemas.openxmlformats.org/officeDocument/2006/relationships/hyperlink" Target="https://www.sec.gov/files/ctf-input-lido-labs-foundation-3-24-25.pdf" TargetMode="External"/><Relationship Id="rId32" Type="http://schemas.openxmlformats.org/officeDocument/2006/relationships/hyperlink" Target="http://claude.ai" TargetMode="External"/><Relationship Id="rId76" Type="http://schemas.openxmlformats.org/officeDocument/2006/relationships/hyperlink" Target="https://www.sec.gov/newsroom/speeches-statements/speech-hinman-061418" TargetMode="External"/><Relationship Id="rId35" Type="http://schemas.openxmlformats.org/officeDocument/2006/relationships/hyperlink" Target="https://www.sec.gov/files/sec-2025-agency-financial-report.pdf" TargetMode="External"/><Relationship Id="rId79" Type="http://schemas.openxmlformats.org/officeDocument/2006/relationships/hyperlink" Target="https://www.sec.gov/files/ctf-written-letter-02-10-2026.pdf" TargetMode="External"/><Relationship Id="rId34" Type="http://schemas.openxmlformats.org/officeDocument/2006/relationships/hyperlink" Target="https://www.sec.gov/newsroom/speeches-statements/peirce-journey-begins-020425" TargetMode="External"/><Relationship Id="rId78" Type="http://schemas.openxmlformats.org/officeDocument/2006/relationships/hyperlink" Target="https://www.sec.gov/files/ctf-memo-phantom-technologies-inc-bgr-group-wilmer-cutler-pickering-hale-dorr-070225.pdf" TargetMode="External"/><Relationship Id="rId71" Type="http://schemas.openxmlformats.org/officeDocument/2006/relationships/hyperlink" Target="https://houstonlawreview.org/article/154479-crypto-conflicts-navigating-the-sec-s-crackdown-on-crypto-asset-transactions-and-the-evolving-definition-of-securities" TargetMode="External"/><Relationship Id="rId70" Type="http://schemas.openxmlformats.org/officeDocument/2006/relationships/hyperlink" Target="https://houstonlawreview.org/article/154479-crypto-conflicts-navigating-the-sec-s-crackdown-on-crypto-asset-transactions-and-the-evolving-definition-of-securities" TargetMode="External"/><Relationship Id="rId37" Type="http://schemas.openxmlformats.org/officeDocument/2006/relationships/hyperlink" Target="https://www.sec.gov/files/a16z-crypto-response-sec-rfi-questions-1-6-03132025.pdf" TargetMode="External"/><Relationship Id="rId36" Type="http://schemas.openxmlformats.org/officeDocument/2006/relationships/hyperlink" Target="https://www.sec.gov/files/ctf-written-input-defi-education-fund-041825.pdf" TargetMode="External"/><Relationship Id="rId39" Type="http://schemas.openxmlformats.org/officeDocument/2006/relationships/hyperlink" Target="https://www.sec.gov/files/ctf-memo-adam-tomas-brad-tonkin-072125.pdf" TargetMode="External"/><Relationship Id="rId38" Type="http://schemas.openxmlformats.org/officeDocument/2006/relationships/hyperlink" Target="https://www.sec.gov/files/rules/other/2025/better-markets-comment-letter-061125.pdf" TargetMode="External"/><Relationship Id="rId62" Type="http://schemas.openxmlformats.org/officeDocument/2006/relationships/hyperlink" Target="http://perplexity.ai" TargetMode="External"/><Relationship Id="rId61" Type="http://schemas.openxmlformats.org/officeDocument/2006/relationships/hyperlink" Target="https://www.sec.gov/files/ctf-input-reiners-2025-3-18.pdf" TargetMode="External"/><Relationship Id="rId20" Type="http://schemas.openxmlformats.org/officeDocument/2006/relationships/hyperlink" Target="https://www.sec.gov/enforcement-litigation/whistleblower-program" TargetMode="External"/><Relationship Id="rId64" Type="http://schemas.openxmlformats.org/officeDocument/2006/relationships/hyperlink" Target="https://www.youtube.com/watch?v=GtyR5nMWEwk" TargetMode="External"/><Relationship Id="rId63" Type="http://schemas.openxmlformats.org/officeDocument/2006/relationships/hyperlink" Target="https://www.youtube.com/watch?v=GtyR5nMWEwk" TargetMode="External"/><Relationship Id="rId22" Type="http://schemas.openxmlformats.org/officeDocument/2006/relationships/hyperlink" Target="https://www.sec.gov/files/ctf-written-antonio-lanotte-global-blockchain-business-council-051425.pdf" TargetMode="External"/><Relationship Id="rId66" Type="http://schemas.openxmlformats.org/officeDocument/2006/relationships/hyperlink" Target="https://houstonlawreview.org/article/154479-crypto-conflicts-navigating-the-sec-s-crackdown-on-crypto-asset-transactions-and-the-evolving-definition-of-securities" TargetMode="External"/><Relationship Id="rId21" Type="http://schemas.openxmlformats.org/officeDocument/2006/relationships/hyperlink" Target="https://www.sec.gov/files/ctf-memo-ethena-labs-s-morrison-cohen-llp-070125.pdf" TargetMode="External"/><Relationship Id="rId65" Type="http://schemas.openxmlformats.org/officeDocument/2006/relationships/hyperlink" Target="https://houstonlawreview.org/article/154479-crypto-conflicts-navigating-the-sec-s-crackdown-on-crypto-asset-transactions-and-the-evolving-definition-of-securities" TargetMode="External"/><Relationship Id="rId24" Type="http://schemas.openxmlformats.org/officeDocument/2006/relationships/hyperlink" Target="https://www.sec.gov/files/ctf-memo-ethena-labs-s-morrison-cohen-llp-070125.pdf" TargetMode="External"/><Relationship Id="rId68" Type="http://schemas.openxmlformats.org/officeDocument/2006/relationships/hyperlink" Target="https://houstonlawreview.org/article/154479-crypto-conflicts-navigating-the-sec-s-crackdown-on-crypto-asset-transactions-and-the-evolving-definition-of-securities" TargetMode="External"/><Relationship Id="rId23" Type="http://schemas.openxmlformats.org/officeDocument/2006/relationships/hyperlink" Target="https://www.sec.gov/newsroom/speeches-statements/statement-stablecoins-040425" TargetMode="External"/><Relationship Id="rId67" Type="http://schemas.openxmlformats.org/officeDocument/2006/relationships/hyperlink" Target="https://houstonlawreview.org/article/154479-crypto-conflicts-navigating-the-sec-s-crackdown-on-crypto-asset-transactions-and-the-evolving-definition-of-securities" TargetMode="External"/><Relationship Id="rId60" Type="http://schemas.openxmlformats.org/officeDocument/2006/relationships/hyperlink" Target="https://www.sec.gov/files/070925-crypto-time-trump.pdf" TargetMode="External"/><Relationship Id="rId26" Type="http://schemas.openxmlformats.org/officeDocument/2006/relationships/hyperlink" Target="https://www.sec.gov/files/ctf-memo-ethena-labs-s-morrison-cohen-llp-070125.pdf" TargetMode="External"/><Relationship Id="rId25" Type="http://schemas.openxmlformats.org/officeDocument/2006/relationships/hyperlink" Target="https://www.sec.gov/files/ctf-memo-ethena-labs-s-morrison-cohen-llp-070125.pdf" TargetMode="External"/><Relationship Id="rId69" Type="http://schemas.openxmlformats.org/officeDocument/2006/relationships/hyperlink" Target="https://houstonlawreview.org/article/154479-crypto-conflicts-navigating-the-sec-s-crackdown-on-crypto-asset-transactions-and-the-evolving-definition-of-securities" TargetMode="External"/><Relationship Id="rId28" Type="http://schemas.openxmlformats.org/officeDocument/2006/relationships/hyperlink" Target="https://www.trmlabs.com/reports-and-whitepapers/global-crypto-policy-review-outlook-2025-26" TargetMode="External"/><Relationship Id="rId27" Type="http://schemas.openxmlformats.org/officeDocument/2006/relationships/hyperlink" Target="http://perplexity.ai" TargetMode="External"/><Relationship Id="rId29" Type="http://schemas.openxmlformats.org/officeDocument/2006/relationships/hyperlink" Target="https://legalnodes.com/article/mica-regulation-explained" TargetMode="External"/><Relationship Id="rId51" Type="http://schemas.openxmlformats.org/officeDocument/2006/relationships/hyperlink" Target="https://www.sec.gov/files/ctf-input-figure-markets-3-25-25.pdf" TargetMode="External"/><Relationship Id="rId50" Type="http://schemas.openxmlformats.org/officeDocument/2006/relationships/hyperlink" Target="https://www.sec.gov/newsroom/speeches-statements/crenshaw-remarks-crypto-roundtable-032125" TargetMode="External"/><Relationship Id="rId53" Type="http://schemas.openxmlformats.org/officeDocument/2006/relationships/hyperlink" Target="https://www.sec.gov/files/ctf-written-input-pwc-050225.pdf" TargetMode="External"/><Relationship Id="rId52" Type="http://schemas.openxmlformats.org/officeDocument/2006/relationships/hyperlink" Target="https://www.sec.gov/files/ctf-input-smith-2025-3-20.pdf" TargetMode="External"/><Relationship Id="rId11" Type="http://schemas.openxmlformats.org/officeDocument/2006/relationships/hyperlink" Target="https://houstonlawreview.org/article/154479-crypto-conflicts-navigating-the-sec-s-crackdown-on-crypto-asset-transactions-and-the-evolving-definition-of-securities" TargetMode="External"/><Relationship Id="rId55" Type="http://schemas.openxmlformats.org/officeDocument/2006/relationships/hyperlink" Target="https://www.sec.gov/files/ctf-written-input-aicpa-042125.pdf" TargetMode="External"/><Relationship Id="rId10" Type="http://schemas.openxmlformats.org/officeDocument/2006/relationships/hyperlink" Target="https://www.sec.gov/files/dragonflys-state-airdrops-report-2025.pdf" TargetMode="External"/><Relationship Id="rId54" Type="http://schemas.openxmlformats.org/officeDocument/2006/relationships/hyperlink" Target="https://www.sec.gov/newsroom/speeches-statements/peirce-statement-rfi-022125" TargetMode="External"/><Relationship Id="rId13" Type="http://schemas.openxmlformats.org/officeDocument/2006/relationships/hyperlink" Target="https://houstonlawreview.org/article/154479-crypto-conflicts-navigating-the-sec-s-crackdown-on-crypto-asset-transactions-and-the-evolving-definition-of-securities" TargetMode="External"/><Relationship Id="rId57" Type="http://schemas.openxmlformats.org/officeDocument/2006/relationships/hyperlink" Target="https://www.sec.gov/files/ctf-input-reiners-2025-3-18.pdf" TargetMode="External"/><Relationship Id="rId12" Type="http://schemas.openxmlformats.org/officeDocument/2006/relationships/hyperlink" Target="https://houstonlawreview.org/article/154479-crypto-conflicts-navigating-the-sec-s-crackdown-on-crypto-asset-transactions-and-the-evolving-definition-of-securities" TargetMode="External"/><Relationship Id="rId56" Type="http://schemas.openxmlformats.org/officeDocument/2006/relationships/hyperlink" Target="https://www.sec.gov/files/ctf-written-input-pwc-050225.pdf" TargetMode="External"/><Relationship Id="rId91" Type="http://schemas.openxmlformats.org/officeDocument/2006/relationships/hyperlink" Target="http://claude.ai" TargetMode="External"/><Relationship Id="rId90" Type="http://schemas.openxmlformats.org/officeDocument/2006/relationships/hyperlink" Target="https://www.sec.gov/newsroom/speeches-statements/corp-fin-statement-tokenized-securities-012826-statement-tokenized-securities" TargetMode="External"/><Relationship Id="rId15" Type="http://schemas.openxmlformats.org/officeDocument/2006/relationships/hyperlink" Target="http://claude.ai" TargetMode="External"/><Relationship Id="rId59" Type="http://schemas.openxmlformats.org/officeDocument/2006/relationships/hyperlink" Target="https://www.sec.gov/files/ctf-written-input-keen-043025.pdf" TargetMode="External"/><Relationship Id="rId14" Type="http://schemas.openxmlformats.org/officeDocument/2006/relationships/hyperlink" Target="https://www.clearygottlieb.com/news-and-insights/publication-listing/sec-staff-issues-guidance-on-tokenized-security-taxonomies" TargetMode="External"/><Relationship Id="rId58" Type="http://schemas.openxmlformats.org/officeDocument/2006/relationships/hyperlink" Target="https://www.sec.gov/newsroom/speeches-statements/crenshaw-remarks-crypto-roundtable-032125" TargetMode="External"/><Relationship Id="rId17" Type="http://schemas.openxmlformats.org/officeDocument/2006/relationships/hyperlink" Target="https://www.sec.gov/newsroom/speeches-statements/peirce-journey-begins-020425" TargetMode="External"/><Relationship Id="rId16" Type="http://schemas.openxmlformats.org/officeDocument/2006/relationships/hyperlink" Target="https://www.sec.gov/newsroom/speeches-statements/peirce-journey-begins-020425" TargetMode="External"/><Relationship Id="rId19" Type="http://schemas.openxmlformats.org/officeDocument/2006/relationships/hyperlink" Target="https://www.sec.gov/newsroom/speeches-statements/peirce-journey-begins-020425" TargetMode="External"/><Relationship Id="rId18" Type="http://schemas.openxmlformats.org/officeDocument/2006/relationships/hyperlink" Target="https://www.sec.gov/files/ctf-memo-ethena-labs-s-morrison-cohen-llp-0701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