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 w:name="content"/>
    <w:bookmarkStart w:id="25" w:name="X80e81345d2b3ce965ef45c967dc6ece8a877d5e"/>
    <w:p>
      <w:pPr>
        <w:pStyle w:val="Heading1"/>
      </w:pPr>
      <w:r>
        <w:t xml:space="preserve">Process Overview for SEC Crypto Custody Weekly Report Creation (Week of Feb 3–9 2026)</w:t>
      </w:r>
    </w:p>
    <w:p>
      <w:pPr>
        <w:pStyle w:val="FirstParagraph"/>
      </w:pPr>
      <w:r>
        <w:t xml:space="preserve">This document describes how the “Crypto Custody Regulatory Intelligence Agent” collected data and produced the weekly newsletter covering SEC crypto‑custody developments for</w:t>
      </w:r>
      <w:r>
        <w:t xml:space="preserve"> </w:t>
      </w:r>
      <w:r>
        <w:rPr>
          <w:b/>
          <w:bCs/>
        </w:rPr>
        <w:t xml:space="preserve">3 February 2026 – 9 February 2026</w:t>
      </w:r>
      <w:r>
        <w:t xml:space="preserve">. It outlines the sequence of steps, the tools used at each stage, and how the final report was assembled.</w:t>
      </w:r>
    </w:p>
    <w:bookmarkStart w:id="21" w:name="tools-utilised"/>
    <w:p>
      <w:pPr>
        <w:pStyle w:val="Heading2"/>
      </w:pPr>
      <w:r>
        <w:t xml:space="preserve">1. Tools Utilised</w:t>
      </w:r>
    </w:p>
    <w:p>
      <w:pPr>
        <w:pStyle w:val="FirstParagraph"/>
      </w:pPr>
      <w:r>
        <w:t xml:space="preserve">Throughout the task, a variety of tools were employed to gather information, process documents and compile the final report. Below is a high‑level description of each tool and its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rPr>
                <w:b/>
                <w:bCs/>
              </w:rPr>
              <w:t xml:space="preserve">browser.search</w:t>
            </w:r>
          </w:p>
        </w:tc>
        <w:tc>
          <w:tcPr/>
          <w:p>
            <w:pPr>
              <w:pStyle w:val="Compact"/>
            </w:pPr>
            <w:r>
              <w:t xml:space="preserve">Search the web for relevant SEC documents and news using keywords (e.g.,</w:t>
            </w:r>
            <w:r>
              <w:t xml:space="preserve"> </w:t>
            </w:r>
            <w:r>
              <w:rPr>
                <w:rStyle w:val="VerbatimChar"/>
              </w:rPr>
              <w:t xml:space="preserve">Uyeda crypto custody statement Feb 2026</w:t>
            </w:r>
            <w:r>
              <w:t xml:space="preserve">).</w:t>
            </w:r>
          </w:p>
        </w:tc>
      </w:tr>
      <w:tr>
        <w:tc>
          <w:tcPr/>
          <w:p>
            <w:pPr>
              <w:pStyle w:val="Compact"/>
            </w:pPr>
            <w:r>
              <w:rPr>
                <w:b/>
                <w:bCs/>
              </w:rPr>
              <w:t xml:space="preserve">browser.open</w:t>
            </w:r>
          </w:p>
        </w:tc>
        <w:tc>
          <w:tcPr/>
          <w:p>
            <w:pPr>
              <w:pStyle w:val="Compact"/>
            </w:pPr>
            <w:r>
              <w:t xml:space="preserve">Open search results or specific SEC links for reading; also used to scroll within pages.</w:t>
            </w:r>
          </w:p>
        </w:tc>
      </w:tr>
      <w:tr>
        <w:tc>
          <w:tcPr/>
          <w:p>
            <w:pPr>
              <w:pStyle w:val="Compact"/>
            </w:pPr>
            <w:r>
              <w:rPr>
                <w:b/>
                <w:bCs/>
              </w:rPr>
              <w:t xml:space="preserve">browser.find</w:t>
            </w:r>
          </w:p>
        </w:tc>
        <w:tc>
          <w:tcPr/>
          <w:p>
            <w:pPr>
              <w:pStyle w:val="Compact"/>
            </w:pPr>
            <w:r>
              <w:t xml:space="preserve">Locate specific text within a long document or webpage, such as “qualified custodian” or “key management” inside an SEC speech.</w:t>
            </w:r>
          </w:p>
        </w:tc>
      </w:tr>
      <w:tr>
        <w:tc>
          <w:tcPr/>
          <w:p>
            <w:pPr>
              <w:pStyle w:val="Compact"/>
            </w:pPr>
            <w:r>
              <w:rPr>
                <w:b/>
                <w:bCs/>
              </w:rPr>
              <w:t xml:space="preserve">computer.initialize / computer.get / computer.do</w:t>
            </w:r>
          </w:p>
        </w:tc>
        <w:tc>
          <w:tcPr/>
          <w:p>
            <w:pPr>
              <w:pStyle w:val="Compact"/>
            </w:pPr>
            <w:r>
              <w:t xml:space="preserve">Launch a graphical browser (Chromium) when needed to view PDFs or dynamic pages not easily handled by the text‑based browser; interact with the UI (scroll, click, type).</w:t>
            </w:r>
          </w:p>
        </w:tc>
      </w:tr>
      <w:tr>
        <w:tc>
          <w:tcPr/>
          <w:p>
            <w:pPr>
              <w:pStyle w:val="Compact"/>
            </w:pPr>
            <w:r>
              <w:rPr>
                <w:b/>
                <w:bCs/>
              </w:rPr>
              <w:t xml:space="preserve">container.exec</w:t>
            </w:r>
          </w:p>
        </w:tc>
        <w:tc>
          <w:tcPr/>
          <w:p>
            <w:pPr>
              <w:pStyle w:val="Compact"/>
            </w:pPr>
            <w:r>
              <w:t xml:space="preserve">Run shell commands, such as converting Office documents or creating Markdown files via patch; manage files in the working directory.</w:t>
            </w:r>
          </w:p>
        </w:tc>
      </w:tr>
      <w:tr>
        <w:tc>
          <w:tcPr/>
          <w:p>
            <w:pPr>
              <w:pStyle w:val="Compact"/>
            </w:pPr>
            <w:r>
              <w:rPr>
                <w:b/>
                <w:bCs/>
              </w:rPr>
              <w:t xml:space="preserve">container.open_image</w:t>
            </w:r>
          </w:p>
        </w:tc>
        <w:tc>
          <w:tcPr/>
          <w:p>
            <w:pPr>
              <w:pStyle w:val="Compact"/>
            </w:pPr>
            <w:r>
              <w:t xml:space="preserve">Display images (screenshots or downloaded figures) when verifying PDF content.</w:t>
            </w:r>
          </w:p>
        </w:tc>
      </w:tr>
      <w:tr>
        <w:tc>
          <w:tcPr/>
          <w:p>
            <w:pPr>
              <w:pStyle w:val="Compact"/>
            </w:pPr>
            <w:r>
              <w:rPr>
                <w:b/>
                <w:bCs/>
              </w:rPr>
              <w:t xml:space="preserve">python_user_visible</w:t>
            </w:r>
          </w:p>
        </w:tc>
        <w:tc>
          <w:tcPr/>
          <w:p>
            <w:pPr>
              <w:pStyle w:val="Compact"/>
            </w:pPr>
            <w:r>
              <w:t xml:space="preserve">Execute Python code for data processing (e.g., reading cost tables from Excel, producing charts or tables for the report). Although disabled in this final step, it was used earlier in the project to manipulate data.</w:t>
            </w:r>
          </w:p>
        </w:tc>
      </w:tr>
      <w:tr>
        <w:tc>
          <w:tcPr/>
          <w:p>
            <w:pPr>
              <w:pStyle w:val="Compact"/>
            </w:pPr>
            <w:r>
              <w:rPr>
                <w:b/>
                <w:bCs/>
              </w:rPr>
              <w:t xml:space="preserve">computer.sync_file</w:t>
            </w:r>
          </w:p>
        </w:tc>
        <w:tc>
          <w:tcPr/>
          <w:p>
            <w:pPr>
              <w:pStyle w:val="Compact"/>
            </w:pPr>
            <w:r>
              <w:t xml:space="preserve">Synchronise the finished report to provide a downloadable link back to the user.</w:t>
            </w:r>
          </w:p>
        </w:tc>
      </w:tr>
    </w:tbl>
    <w:bookmarkEnd w:id="21"/>
    <w:bookmarkStart w:id="22" w:name="data-collection"/>
    <w:p>
      <w:pPr>
        <w:pStyle w:val="Heading2"/>
      </w:pPr>
      <w:r>
        <w:t xml:space="preserve">2. Data Collection</w:t>
      </w:r>
    </w:p>
    <w:p>
      <w:pPr>
        <w:numPr>
          <w:ilvl w:val="0"/>
          <w:numId w:val="1001"/>
        </w:numPr>
      </w:pPr>
      <w:r>
        <w:rPr>
          <w:b/>
          <w:bCs/>
        </w:rPr>
        <w:t xml:space="preserve">Define research scope</w:t>
      </w:r>
      <w:r>
        <w:t xml:space="preserve">: Following the user’s instructions, the agent focused on the week of</w:t>
      </w:r>
      <w:r>
        <w:t xml:space="preserve"> </w:t>
      </w:r>
      <w:r>
        <w:rPr>
          <w:b/>
          <w:bCs/>
        </w:rPr>
        <w:t xml:space="preserve">3 Feb 2026 – 9 Feb 2026</w:t>
      </w:r>
      <w:r>
        <w:t xml:space="preserve">. The search targeted SEC releases, speeches and enforcement actions related to crypto custody.</w:t>
      </w:r>
    </w:p>
    <w:p>
      <w:pPr>
        <w:numPr>
          <w:ilvl w:val="0"/>
          <w:numId w:val="1001"/>
        </w:numPr>
      </w:pPr>
      <w:r>
        <w:rPr>
          <w:b/>
          <w:bCs/>
        </w:rPr>
        <w:t xml:space="preserve">Search for SEC documents</w:t>
      </w:r>
      <w:r>
        <w:t xml:space="preserve">:</w:t>
      </w:r>
    </w:p>
    <w:p>
      <w:pPr>
        <w:pStyle w:val="Compact"/>
        <w:numPr>
          <w:ilvl w:val="0"/>
          <w:numId w:val="1001"/>
        </w:numPr>
      </w:pPr>
      <w:r>
        <w:t xml:space="preserve">The agent used</w:t>
      </w:r>
      <w:r>
        <w:t xml:space="preserve"> </w:t>
      </w:r>
      <w:r>
        <w:rPr>
          <w:rStyle w:val="VerbatimChar"/>
        </w:rPr>
        <w:t xml:space="preserve">browser.search</w:t>
      </w:r>
      <w:r>
        <w:t xml:space="preserve"> </w:t>
      </w:r>
      <w:r>
        <w:t xml:space="preserve">with queries such as “SEC Commissioner Uyeda crypto custody February 2026,” “SEC Chairman Atkins custody speech Feb 2026,” and “crypto task force Feb 2026.” These queries returned lists of search results from the sec.gov domain.</w:t>
      </w:r>
    </w:p>
    <w:p>
      <w:pPr>
        <w:numPr>
          <w:ilvl w:val="0"/>
          <w:numId w:val="1001"/>
        </w:numPr>
      </w:pPr>
      <w:r>
        <w:t xml:space="preserve">When a relevant result was found (for example, a speech or statement),</w:t>
      </w:r>
      <w:r>
        <w:t xml:space="preserve"> </w:t>
      </w:r>
      <w:r>
        <w:rPr>
          <w:rStyle w:val="VerbatimChar"/>
        </w:rPr>
        <w:t xml:space="preserve">browser.open</w:t>
      </w:r>
      <w:r>
        <w:t xml:space="preserve"> </w:t>
      </w:r>
      <w:r>
        <w:t xml:space="preserve">was used to view the page. The tool provides plain‑text access to the document, including links to PDF attachments or sub‑pages.</w:t>
      </w:r>
    </w:p>
    <w:p>
      <w:pPr>
        <w:numPr>
          <w:ilvl w:val="0"/>
          <w:numId w:val="1001"/>
        </w:numPr>
      </w:pPr>
      <w:r>
        <w:rPr>
          <w:b/>
          <w:bCs/>
        </w:rPr>
        <w:t xml:space="preserve">Open and navigate documents</w:t>
      </w:r>
      <w:r>
        <w:t xml:space="preserve">:</w:t>
      </w:r>
    </w:p>
    <w:p>
      <w:pPr>
        <w:pStyle w:val="Compact"/>
        <w:numPr>
          <w:ilvl w:val="0"/>
          <w:numId w:val="1001"/>
        </w:numPr>
      </w:pPr>
      <w:r>
        <w:t xml:space="preserve">Many SEC materials are published as PDF files (e.g., Commissioner speeches or Accounting Bulletins). To view these, the agent used</w:t>
      </w:r>
      <w:r>
        <w:t xml:space="preserve"> </w:t>
      </w:r>
      <w:r>
        <w:rPr>
          <w:rStyle w:val="VerbatimChar"/>
        </w:rPr>
        <w:t xml:space="preserve">browser.open</w:t>
      </w:r>
      <w:r>
        <w:t xml:space="preserve"> </w:t>
      </w:r>
      <w:r>
        <w:t xml:space="preserve">directly on the PDF link; for large documents the agent scrolled using the</w:t>
      </w:r>
      <w:r>
        <w:t xml:space="preserve"> </w:t>
      </w:r>
      <w:r>
        <w:rPr>
          <w:rStyle w:val="VerbatimChar"/>
        </w:rPr>
        <w:t xml:space="preserve">loc</w:t>
      </w:r>
      <w:r>
        <w:t xml:space="preserve"> </w:t>
      </w:r>
      <w:r>
        <w:t xml:space="preserve">parameter (e.g., starting at line 1, line 100, etc.) to find relevant sections.</w:t>
      </w:r>
    </w:p>
    <w:p>
      <w:pPr>
        <w:numPr>
          <w:ilvl w:val="0"/>
          <w:numId w:val="1001"/>
        </w:numPr>
      </w:pPr>
      <w:r>
        <w:t xml:space="preserve">For long documents,</w:t>
      </w:r>
      <w:r>
        <w:t xml:space="preserve"> </w:t>
      </w:r>
      <w:r>
        <w:rPr>
          <w:rStyle w:val="VerbatimChar"/>
        </w:rPr>
        <w:t xml:space="preserve">browser.find</w:t>
      </w:r>
      <w:r>
        <w:t xml:space="preserve"> </w:t>
      </w:r>
      <w:r>
        <w:t xml:space="preserve">was called to search within the page for key phrases (“digital asset securities,” “qualified custodian,” “key management controls”) to quickly locate the relevant passages.</w:t>
      </w:r>
    </w:p>
    <w:p>
      <w:pPr>
        <w:numPr>
          <w:ilvl w:val="0"/>
          <w:numId w:val="1001"/>
        </w:numPr>
      </w:pPr>
      <w:r>
        <w:rPr>
          <w:b/>
          <w:bCs/>
        </w:rPr>
        <w:t xml:space="preserve">Capture citations</w:t>
      </w:r>
      <w:r>
        <w:t xml:space="preserve">:</w:t>
      </w:r>
    </w:p>
    <w:p>
      <w:pPr>
        <w:numPr>
          <w:ilvl w:val="0"/>
          <w:numId w:val="1001"/>
        </w:numPr>
      </w:pPr>
      <w:r>
        <w:t xml:space="preserve">When facts needed to be referenced in the report, the agent recorded citations using the line numbers provided by</w:t>
      </w:r>
      <w:r>
        <w:t xml:space="preserve"> </w:t>
      </w:r>
      <w:r>
        <w:rPr>
          <w:rStyle w:val="VerbatimChar"/>
        </w:rPr>
        <w:t xml:space="preserve">browser.open</w:t>
      </w:r>
      <w:r>
        <w:t xml:space="preserve">. For example, Commissioner Uyeda’s remarks about the need for a</w:t>
      </w:r>
      <w:r>
        <w:t xml:space="preserve"> </w:t>
      </w:r>
      <w:r>
        <w:rPr>
          <w:b/>
          <w:bCs/>
        </w:rPr>
        <w:t xml:space="preserve">qualified custodian</w:t>
      </w:r>
      <w:r>
        <w:t xml:space="preserve"> </w:t>
      </w:r>
      <w:r>
        <w:t xml:space="preserve">and robust</w:t>
      </w:r>
      <w:r>
        <w:t xml:space="preserve"> </w:t>
      </w:r>
      <w:r>
        <w:rPr>
          <w:b/>
          <w:bCs/>
        </w:rPr>
        <w:t xml:space="preserve">key management controls</w:t>
      </w:r>
      <w:r>
        <w:t xml:space="preserve"> </w:t>
      </w:r>
      <w:r>
        <w:t xml:space="preserve">were cited with line references such as 【5†L54-L63】. These citations were later included in the final markdown report.</w:t>
      </w:r>
    </w:p>
    <w:p>
      <w:pPr>
        <w:numPr>
          <w:ilvl w:val="0"/>
          <w:numId w:val="1001"/>
        </w:numPr>
      </w:pPr>
      <w:r>
        <w:rPr>
          <w:b/>
          <w:bCs/>
        </w:rPr>
        <w:t xml:space="preserve">Extract metrics and enforcement information</w:t>
      </w:r>
      <w:r>
        <w:t xml:space="preserve">:</w:t>
      </w:r>
    </w:p>
    <w:p>
      <w:pPr>
        <w:pStyle w:val="Compact"/>
        <w:numPr>
          <w:ilvl w:val="0"/>
          <w:numId w:val="1001"/>
        </w:numPr>
      </w:pPr>
      <w:r>
        <w:t xml:space="preserve">The agent scanned the</w:t>
      </w:r>
      <w:r>
        <w:t xml:space="preserve"> </w:t>
      </w:r>
      <w:r>
        <w:rPr>
          <w:b/>
          <w:bCs/>
        </w:rPr>
        <w:t xml:space="preserve">SEC Crypto Task Force</w:t>
      </w:r>
      <w:r>
        <w:t xml:space="preserve"> </w:t>
      </w:r>
      <w:r>
        <w:t xml:space="preserve">page and recent press releases for enforcement actions or guidance updates during the week. Information about ongoing cases (e.g.,</w:t>
      </w:r>
      <w:r>
        <w:t xml:space="preserve"> </w:t>
      </w:r>
      <w:r>
        <w:rPr>
          <w:i/>
          <w:iCs/>
        </w:rPr>
        <w:t xml:space="preserve">SEC v. Voyager</w:t>
      </w:r>
      <w:r>
        <w:t xml:space="preserve"> </w:t>
      </w:r>
      <w:r>
        <w:t xml:space="preserve">distribution updates) and commissioner speeches were noted.</w:t>
      </w:r>
    </w:p>
    <w:p>
      <w:pPr>
        <w:pStyle w:val="Compact"/>
        <w:numPr>
          <w:ilvl w:val="0"/>
          <w:numId w:val="1001"/>
        </w:numPr>
      </w:pPr>
      <w:r>
        <w:t xml:space="preserve">Because no new enforcement actions were filed during that week, the report emphasised trends and references to earlier actions (e.g., fraud‑related cases).</w:t>
      </w:r>
    </w:p>
    <w:bookmarkEnd w:id="22"/>
    <w:bookmarkStart w:id="23" w:name="data-processing-and-report-compilation"/>
    <w:p>
      <w:pPr>
        <w:pStyle w:val="Heading2"/>
      </w:pPr>
      <w:r>
        <w:t xml:space="preserve">3. Data Processing and Report Compilation</w:t>
      </w:r>
    </w:p>
    <w:p>
      <w:pPr>
        <w:pStyle w:val="Compact"/>
        <w:numPr>
          <w:ilvl w:val="0"/>
          <w:numId w:val="1002"/>
        </w:numPr>
      </w:pPr>
      <w:r>
        <w:rPr>
          <w:b/>
          <w:bCs/>
        </w:rPr>
        <w:t xml:space="preserve">Organise findings</w:t>
      </w:r>
      <w:r>
        <w:t xml:space="preserve">: After collecting the relevant information, the agent summarised the facts in plain English. For each item, it distinguished between:</w:t>
      </w:r>
    </w:p>
    <w:p>
      <w:pPr>
        <w:pStyle w:val="Compact"/>
        <w:numPr>
          <w:ilvl w:val="0"/>
          <w:numId w:val="1002"/>
        </w:numPr>
      </w:pPr>
      <w:r>
        <w:rPr>
          <w:b/>
          <w:bCs/>
        </w:rPr>
        <w:t xml:space="preserve">FACTS</w:t>
      </w:r>
      <w:r>
        <w:t xml:space="preserve"> </w:t>
      </w:r>
      <w:r>
        <w:t xml:space="preserve">– direct statements from SEC documents, always accompanied by citations.</w:t>
      </w:r>
    </w:p>
    <w:p>
      <w:pPr>
        <w:pStyle w:val="Compact"/>
        <w:numPr>
          <w:ilvl w:val="0"/>
          <w:numId w:val="1002"/>
        </w:numPr>
      </w:pPr>
      <w:r>
        <w:rPr>
          <w:b/>
          <w:bCs/>
        </w:rPr>
        <w:t xml:space="preserve">ANALYSIS</w:t>
      </w:r>
      <w:r>
        <w:t xml:space="preserve"> </w:t>
      </w:r>
      <w:r>
        <w:t xml:space="preserve">– the agent’s interpretation of what the statements mean for different regulated entities (broker‑dealers, RIAs, banks/trust companies, crypto custodians).</w:t>
      </w:r>
    </w:p>
    <w:p>
      <w:pPr>
        <w:numPr>
          <w:ilvl w:val="0"/>
          <w:numId w:val="1002"/>
        </w:numPr>
      </w:pPr>
      <w:r>
        <w:rPr>
          <w:b/>
          <w:bCs/>
        </w:rPr>
        <w:t xml:space="preserve">INFERENCE</w:t>
      </w:r>
      <w:r>
        <w:t xml:space="preserve"> </w:t>
      </w:r>
      <w:r>
        <w:t xml:space="preserve">– cautious predictions about how the guidance might evolve (e.g., potential formal rulemakings or technology‑specific controls).</w:t>
      </w:r>
    </w:p>
    <w:p>
      <w:pPr>
        <w:numPr>
          <w:ilvl w:val="0"/>
          <w:numId w:val="1002"/>
        </w:numPr>
      </w:pPr>
      <w:r>
        <w:rPr>
          <w:b/>
          <w:bCs/>
        </w:rPr>
        <w:t xml:space="preserve">Maintain a regulatory tracker</w:t>
      </w:r>
      <w:r>
        <w:t xml:space="preserve">: A table was created that lists each relevant guidance document, its effective date, current status (active or pending), impact description and key topics/tags. This tracker helps readers quickly see which rules are in force and what may be coming next.</w:t>
      </w:r>
    </w:p>
    <w:p>
      <w:pPr>
        <w:numPr>
          <w:ilvl w:val="0"/>
          <w:numId w:val="1002"/>
        </w:numPr>
      </w:pPr>
      <w:r>
        <w:rPr>
          <w:b/>
          <w:bCs/>
        </w:rPr>
        <w:t xml:space="preserve">Write the newsletter</w:t>
      </w:r>
      <w:r>
        <w:t xml:space="preserve">: Using the Markdown format, the agent drafted the newsletter in sections:</w:t>
      </w:r>
    </w:p>
    <w:p>
      <w:pPr>
        <w:pStyle w:val="Compact"/>
        <w:numPr>
          <w:ilvl w:val="0"/>
          <w:numId w:val="1002"/>
        </w:numPr>
      </w:pPr>
      <w:r>
        <w:rPr>
          <w:b/>
          <w:bCs/>
        </w:rPr>
        <w:t xml:space="preserve">This Week at a Glance</w:t>
      </w:r>
      <w:r>
        <w:t xml:space="preserve"> </w:t>
      </w:r>
      <w:r>
        <w:t xml:space="preserve">– summarised how many new SEC releases occurred (none this week) and presented year‑to‑date totals.</w:t>
      </w:r>
    </w:p>
    <w:p>
      <w:pPr>
        <w:pStyle w:val="Compact"/>
        <w:numPr>
          <w:ilvl w:val="0"/>
          <w:numId w:val="1002"/>
        </w:numPr>
      </w:pPr>
      <w:r>
        <w:rPr>
          <w:b/>
          <w:bCs/>
        </w:rPr>
        <w:t xml:space="preserve">Top Story</w:t>
      </w:r>
      <w:r>
        <w:t xml:space="preserve"> </w:t>
      </w:r>
      <w:r>
        <w:t xml:space="preserve">– highlighted a major speech by Commissioner Uyeda urging renewed attention to custody controls, summarised the key points and what they mean for different entities.</w:t>
      </w:r>
    </w:p>
    <w:p>
      <w:pPr>
        <w:pStyle w:val="Compact"/>
        <w:numPr>
          <w:ilvl w:val="0"/>
          <w:numId w:val="1002"/>
        </w:numPr>
      </w:pPr>
      <w:r>
        <w:rPr>
          <w:b/>
          <w:bCs/>
        </w:rPr>
        <w:t xml:space="preserve">Regulatory Tracker Update</w:t>
      </w:r>
      <w:r>
        <w:t xml:space="preserve"> </w:t>
      </w:r>
      <w:r>
        <w:t xml:space="preserve">– provided a table listing active guidance (e.g., SAB 122, BD possession statement) and pending developments.</w:t>
      </w:r>
    </w:p>
    <w:p>
      <w:pPr>
        <w:pStyle w:val="Compact"/>
        <w:numPr>
          <w:ilvl w:val="0"/>
          <w:numId w:val="1002"/>
        </w:numPr>
      </w:pPr>
      <w:r>
        <w:rPr>
          <w:b/>
          <w:bCs/>
        </w:rPr>
        <w:t xml:space="preserve">Enforcement Watch</w:t>
      </w:r>
      <w:r>
        <w:t xml:space="preserve"> </w:t>
      </w:r>
      <w:r>
        <w:t xml:space="preserve">– reviewed ongoing cases and noted the absence of new actions, summarising trends (fraud‑centric enforcement).</w:t>
      </w:r>
    </w:p>
    <w:p>
      <w:pPr>
        <w:numPr>
          <w:ilvl w:val="0"/>
          <w:numId w:val="1002"/>
        </w:numPr>
      </w:pPr>
      <w:r>
        <w:rPr>
          <w:b/>
          <w:bCs/>
        </w:rPr>
        <w:t xml:space="preserve">Banking Regulator Corner</w:t>
      </w:r>
      <w:r>
        <w:t xml:space="preserve">,</w:t>
      </w:r>
      <w:r>
        <w:t xml:space="preserve"> </w:t>
      </w:r>
      <w:r>
        <w:rPr>
          <w:b/>
          <w:bCs/>
        </w:rPr>
        <w:t xml:space="preserve">What’s Coming</w:t>
      </w:r>
      <w:r>
        <w:t xml:space="preserve">,</w:t>
      </w:r>
      <w:r>
        <w:t xml:space="preserve"> </w:t>
      </w:r>
      <w:r>
        <w:rPr>
          <w:b/>
          <w:bCs/>
        </w:rPr>
        <w:t xml:space="preserve">Compliance Action Items</w:t>
      </w:r>
      <w:r>
        <w:t xml:space="preserve">,</w:t>
      </w:r>
      <w:r>
        <w:t xml:space="preserve"> </w:t>
      </w:r>
      <w:r>
        <w:rPr>
          <w:b/>
          <w:bCs/>
        </w:rPr>
        <w:t xml:space="preserve">Resource Library</w:t>
      </w:r>
      <w:r>
        <w:t xml:space="preserve"> </w:t>
      </w:r>
      <w:r>
        <w:t xml:space="preserve">– additional sections tailored to the user’s requirements.</w:t>
      </w:r>
    </w:p>
    <w:p>
      <w:pPr>
        <w:numPr>
          <w:ilvl w:val="0"/>
          <w:numId w:val="1002"/>
        </w:numPr>
      </w:pPr>
      <w:r>
        <w:rPr>
          <w:b/>
          <w:bCs/>
        </w:rPr>
        <w:t xml:space="preserve">Create Markdown file</w:t>
      </w:r>
      <w:r>
        <w:t xml:space="preserve">: To compile the report into a file, the agent used the</w:t>
      </w:r>
      <w:r>
        <w:t xml:space="preserve"> </w:t>
      </w:r>
      <w:r>
        <w:rPr>
          <w:rStyle w:val="VerbatimChar"/>
        </w:rPr>
        <w:t xml:space="preserve">container.exec</w:t>
      </w:r>
      <w:r>
        <w:t xml:space="preserve"> </w:t>
      </w:r>
      <w:r>
        <w:t xml:space="preserve">tool with an</w:t>
      </w:r>
      <w:r>
        <w:t xml:space="preserve"> </w:t>
      </w:r>
      <w:r>
        <w:rPr>
          <w:rStyle w:val="VerbatimChar"/>
        </w:rPr>
        <w:t xml:space="preserve">apply_patch</w:t>
      </w:r>
      <w:r>
        <w:t xml:space="preserve"> </w:t>
      </w:r>
      <w:r>
        <w:t xml:space="preserve">command. This command created a new file</w:t>
      </w:r>
      <w:r>
        <w:t xml:space="preserve"> </w:t>
      </w:r>
      <w:r>
        <w:rPr>
          <w:rStyle w:val="VerbatimChar"/>
        </w:rPr>
        <w:t xml:space="preserve">newsletter_week_of_feb3_2026.md</w:t>
      </w:r>
      <w:r>
        <w:t xml:space="preserve"> </w:t>
      </w:r>
      <w:r>
        <w:t xml:space="preserve">inside the</w:t>
      </w:r>
      <w:r>
        <w:t xml:space="preserve"> </w:t>
      </w:r>
      <w:r>
        <w:rPr>
          <w:rStyle w:val="VerbatimChar"/>
        </w:rPr>
        <w:t xml:space="preserve">/home/oai/share</w:t>
      </w:r>
      <w:r>
        <w:t xml:space="preserve"> </w:t>
      </w:r>
      <w:r>
        <w:t xml:space="preserve">directory and inserted the newsletter content with proper headings, tables and citations.</w:t>
      </w:r>
    </w:p>
    <w:p>
      <w:pPr>
        <w:numPr>
          <w:ilvl w:val="0"/>
          <w:numId w:val="1002"/>
        </w:numPr>
      </w:pPr>
      <w:r>
        <w:rPr>
          <w:b/>
          <w:bCs/>
        </w:rPr>
        <w:t xml:space="preserve">Synchronise the file</w:t>
      </w:r>
      <w:r>
        <w:t xml:space="preserve">: Once the file was written, the agent called</w:t>
      </w:r>
      <w:r>
        <w:t xml:space="preserve"> </w:t>
      </w:r>
      <w:r>
        <w:rPr>
          <w:rStyle w:val="VerbatimChar"/>
        </w:rPr>
        <w:t xml:space="preserve">computer.sync_file</w:t>
      </w:r>
      <w:r>
        <w:t xml:space="preserve"> </w:t>
      </w:r>
      <w:r>
        <w:t xml:space="preserve">to make the markdown document available for download. The tool returned a unique file identifier (e.g., ``), which was then shared with the user in the final response.</w:t>
      </w:r>
    </w:p>
    <w:bookmarkEnd w:id="23"/>
    <w:bookmarkStart w:id="24" w:name="final-output"/>
    <w:p>
      <w:pPr>
        <w:pStyle w:val="Heading2"/>
      </w:pPr>
      <w:r>
        <w:t xml:space="preserve">4. Final Output</w:t>
      </w:r>
    </w:p>
    <w:p>
      <w:pPr>
        <w:pStyle w:val="FirstParagraph"/>
      </w:pPr>
      <w:r>
        <w:t xml:space="preserve">The end result was a concise, well‑structured weekly digest summarising SEC crypto‑custody developments for the specified week. It included:</w:t>
      </w:r>
    </w:p>
    <w:p>
      <w:pPr>
        <w:pStyle w:val="Compact"/>
        <w:numPr>
          <w:ilvl w:val="0"/>
          <w:numId w:val="1003"/>
        </w:numPr>
      </w:pPr>
      <w:r>
        <w:t xml:space="preserve">A high‑level overview of new guidance and events (none in this particular week).</w:t>
      </w:r>
    </w:p>
    <w:p>
      <w:pPr>
        <w:pStyle w:val="Compact"/>
        <w:numPr>
          <w:ilvl w:val="0"/>
          <w:numId w:val="1003"/>
        </w:numPr>
      </w:pPr>
      <w:r>
        <w:t xml:space="preserve">A detailed discussion of Commissioner Uyeda’s speech on qualified custodians and key management, with clear bullet‑points outlining implications for broker‑dealers, RIAs, banks/trust companies and crypto‑native custodians.</w:t>
      </w:r>
    </w:p>
    <w:p>
      <w:pPr>
        <w:pStyle w:val="Compact"/>
        <w:numPr>
          <w:ilvl w:val="0"/>
          <w:numId w:val="1003"/>
        </w:numPr>
      </w:pPr>
      <w:r>
        <w:t xml:space="preserve">Updated tables tracking active and pending regulatory items.</w:t>
      </w:r>
    </w:p>
    <w:p>
      <w:pPr>
        <w:pStyle w:val="Compact"/>
        <w:numPr>
          <w:ilvl w:val="0"/>
          <w:numId w:val="1003"/>
        </w:numPr>
      </w:pPr>
      <w:r>
        <w:t xml:space="preserve">Observations on enforcement trends and upcoming events.</w:t>
      </w:r>
    </w:p>
    <w:p>
      <w:pPr>
        <w:pStyle w:val="Compact"/>
        <w:numPr>
          <w:ilvl w:val="0"/>
          <w:numId w:val="1003"/>
        </w:numPr>
      </w:pPr>
      <w:r>
        <w:t xml:space="preserve">Citations linking to the original SEC sources for verification.</w:t>
      </w:r>
    </w:p>
    <w:p>
      <w:pPr>
        <w:pStyle w:val="FirstParagraph"/>
      </w:pPr>
      <w:r>
        <w:t xml:space="preserve">By following this structured process—searching, opening, finding, summarising and compiling—the agent ensured that the report was accurate, comprehensive and easily navigable by different stakeholders.</w:t>
      </w:r>
    </w:p>
    <w:bookmarkEnd w:id="24"/>
    <w:bookmarkEnd w:id="25"/>
    <w:bookmarkEnd w:id="26"/>
    <w:p>
      <w:r>
        <w:pict>
          <v:rect style="width:0;height:1.5pt" o:hralign="center" o:hrstd="t" o:hr="t"/>
        </w:pict>
      </w:r>
    </w:p>
    <w:bookmarkStart w:id="27" w:name="citations"/>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2026-02-10T05:23:39Z</dcterms:created>
  <dcterms:modified xsi:type="dcterms:W3CDTF">2026-02-10T05:23:39Z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