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c29c2c7dac40b3834ae9de591fa675ed62b98d5"/>
    <w:p>
      <w:pPr>
        <w:pStyle w:val="Heading1"/>
      </w:pPr>
      <w:r>
        <w:t xml:space="preserve">SEC ROUND TABLE MEETINGS - REGULATORY INTELLIGENCE REPORT</w:t>
      </w:r>
    </w:p>
    <w:p>
      <w:pPr>
        <w:pStyle w:val="FirstParagraph"/>
      </w:pPr>
      <w:r>
        <w:t xml:space="preserve">FACTS / ANALYSIS / INFERENCE: where text is explicitly supported by meeting reports it is labeled FACTS; where it is interpretation of cross‑meeting patterns it is labeled ANALYSIS; where it is a reasoned forecast it is labeled INFERENCE.</w:t>
      </w:r>
    </w:p>
    <w:p>
      <w:r>
        <w:pict>
          <v:rect style="width:0;height:1.5pt" o:hralign="center" o:hrstd="t" o:hr="t"/>
        </w:pict>
      </w:r>
    </w:p>
    <w:bookmarkStart w:id="20" w:name="Xa859516fa9ac220a9fb70223c5030e420711359"/>
    <w:p>
      <w:pPr>
        <w:pStyle w:val="Heading2"/>
      </w:pPr>
      <w:r>
        <w:t xml:space="preserve">1. EXECUTIVE INTELLIGENCE BRIEF (1 page maximum)</w:t>
      </w:r>
    </w:p>
    <w:p>
      <w:pPr>
        <w:pStyle w:val="FirstParagraph"/>
      </w:pPr>
      <w:r>
        <w:t xml:space="preserve">FACTS — Inputs analyzed: five SEC Crypto Task Force roundtable reports (How We Got Here; Between a Block and a Hard Place; Know Your Custodian; Tokenization; DeFi and the American Spirit). See Sources section for files and RAG link to SAB 122.</w:t>
      </w:r>
    </w:p>
    <w:p>
      <w:pPr>
        <w:pStyle w:val="BodyText"/>
      </w:pPr>
      <w:r>
        <w:t xml:space="preserve">Key takeaways (5–7 bullets)</w:t>
      </w:r>
      <w:r>
        <w:t xml:space="preserve"> </w:t>
      </w:r>
      <w:r>
        <w:t xml:space="preserve">- Regulators consistently prioritize investor protection and market integrity as the organizing principle; industry asks for clarity, technology‑neutral standards, and on‑ramps (guidance, sandboxes, conditional exemptive relief). (FACTS: all five meetings)</w:t>
      </w:r>
      <w:r>
        <w:t xml:space="preserve"> </w:t>
      </w:r>
      <w:r>
        <w:t xml:space="preserve">- The SEC is pursuing a staged, pragmatic approach: continued public convenings + staff work (guidance/exemptions/pilots) while preserving notice‑and‑comment rulemaking where statutory change is required. (FACTS/ANALYSIS: tokenization, DeFi, custody)</w:t>
      </w:r>
      <w:r>
        <w:t xml:space="preserve"> </w:t>
      </w:r>
      <w:r>
        <w:t xml:space="preserve">- Custody, qualified‑custodian definitions, and insolvency/perfection (SIPA / UCC issues) are immediate operational priorities and are unlikely to be resolved without interagency or legislative engagement. (FACTS: custody roundtable; ANALYSIS)</w:t>
      </w:r>
      <w:r>
        <w:t xml:space="preserve"> </w:t>
      </w:r>
      <w:r>
        <w:t xml:space="preserve">- Howey and doctrinal questions remain central but contested — most participants accept Howey’s centrality while urging technology‑aware operational tests (control/decentralization, rebuttable presumptions, exit criteria). (FACTS: Howey roundtable)</w:t>
      </w:r>
      <w:r>
        <w:t xml:space="preserve"> </w:t>
      </w:r>
      <w:r>
        <w:t xml:space="preserve">- Market‑structure and surveillance modernization (data, consolidated tape analogue, ATS / SPBD models) are elevated priorities to enable onshore trading and to manage systemic risks for tokenized securities. (FACTS: trading &amp; tokenization roundtables)</w:t>
      </w:r>
      <w:r>
        <w:t xml:space="preserve"> </w:t>
      </w:r>
      <w:r>
        <w:t xml:space="preserve">- DeFi poses unique boundary problems (code vs conduct, admin keys, non‑custodial flows); SEC signaled staff work on conditional exemptive relief /</w:t>
      </w:r>
      <w:r>
        <w:t xml:space="preserve"> </w:t>
      </w:r>
      <w:r>
        <w:t xml:space="preserve">“</w:t>
      </w:r>
      <w:r>
        <w:t xml:space="preserve">innovation exemption</w:t>
      </w:r>
      <w:r>
        <w:t xml:space="preserve">”</w:t>
      </w:r>
      <w:r>
        <w:t xml:space="preserve"> </w:t>
      </w:r>
      <w:r>
        <w:t xml:space="preserve">to permit controlled experiments. (FACTS: DeFi roundtable)</w:t>
      </w:r>
      <w:r>
        <w:t xml:space="preserve"> </w:t>
      </w:r>
      <w:r>
        <w:t xml:space="preserve">- Enforcement remains a parallel lever: participants expect enforcement and litigation to continue shaping status quo even as staff pursue guidance and pilots. (ANALYSIS)</w:t>
      </w:r>
    </w:p>
    <w:p>
      <w:pPr>
        <w:pStyle w:val="BodyText"/>
      </w:pPr>
      <w:r>
        <w:t xml:space="preserve">Top 3 regulatory trajectories (with confidence)</w:t>
      </w:r>
      <w:r>
        <w:t xml:space="preserve"> </w:t>
      </w:r>
      <w:r>
        <w:t xml:space="preserve">1. Conditional exemptive relief / sandbox pilots for tokenization and certain on‑chain products (Confidence: High) — Chair directed staff to consider such frameworks in Tokenization &amp; DeFi meetings; participants repeatedly requested pilots.</w:t>
      </w:r>
      <w:r>
        <w:t xml:space="preserve"> </w:t>
      </w:r>
      <w:r>
        <w:t xml:space="preserve">2. Principles‑based custody guidance and clarifications of</w:t>
      </w:r>
      <w:r>
        <w:t xml:space="preserve"> </w:t>
      </w:r>
      <w:r>
        <w:t xml:space="preserve">“</w:t>
      </w:r>
      <w:r>
        <w:t xml:space="preserve">qualified custodian</w:t>
      </w:r>
      <w:r>
        <w:t xml:space="preserve">”</w:t>
      </w:r>
      <w:r>
        <w:t xml:space="preserve"> </w:t>
      </w:r>
      <w:r>
        <w:t xml:space="preserve">plus supervisory expectations (Confidence: High) — strong, cross‑meeting consensus calling for technology‑neutral audit/control evidence (custody meeting).</w:t>
      </w:r>
      <w:r>
        <w:t xml:space="preserve"> </w:t>
      </w:r>
      <w:r>
        <w:t xml:space="preserve">3. Incremental interpretive relief + targeted rulemaking (e.g., transfer‑agent modernization, ATS adaptations) rather than wholesale statutory reinterpretation of Howey (Confidence: Medium) — repeated calls for</w:t>
      </w:r>
      <w:r>
        <w:t xml:space="preserve"> </w:t>
      </w:r>
      <w:r>
        <w:t xml:space="preserve">“</w:t>
      </w:r>
      <w:r>
        <w:t xml:space="preserve">same security, same treatment</w:t>
      </w:r>
      <w:r>
        <w:t xml:space="preserve">”</w:t>
      </w:r>
      <w:r>
        <w:t xml:space="preserve"> </w:t>
      </w:r>
      <w:r>
        <w:t xml:space="preserve">and for staff to propose tailored rule changes; doctrinal disputes make large‑scale statutory reform politically uncertain absent Congress.</w:t>
      </w:r>
    </w:p>
    <w:p>
      <w:pPr>
        <w:pStyle w:val="BodyText"/>
      </w:pPr>
      <w:r>
        <w:t xml:space="preserve">Most influential stakeholders (1–2 sentences each, evidence)</w:t>
      </w:r>
      <w:r>
        <w:t xml:space="preserve"> </w:t>
      </w:r>
      <w:r>
        <w:t xml:space="preserve">- Chairman Atkins (SEC Chair) — set priorities across tokenization and DeFi roundtables and issued explicit staff directives (conditional exemptive relief). Evidence: multiple opening/keynote remarks and staff tasking in Tokenization and DeFi reports. (FACTS)</w:t>
      </w:r>
      <w:r>
        <w:t xml:space="preserve"> </w:t>
      </w:r>
      <w:r>
        <w:t xml:space="preserve">- Acting Chair Mark Uyeda — framed trading/tokenization policy levers (time‑limited conditional exemptive relief suggestion). Evidence: opening remarks in trading roundtable and explicit policy orientation. (FACTS)</w:t>
      </w:r>
      <w:r>
        <w:t xml:space="preserve"> </w:t>
      </w:r>
      <w:r>
        <w:t xml:space="preserve">- Nicholas Losurdo (SEC moderator / counsel) — operationally influential in shaping trading roundtable outcomes by eliciting implementable ideas; repeatedly drove agenda to actionable staff work. Evidence: moderator role and repeated framing in trading report. (FACTS)</w:t>
      </w:r>
      <w:r>
        <w:t xml:space="preserve"> </w:t>
      </w:r>
      <w:r>
        <w:t xml:space="preserve">- Jason Allegrante, Rachel Anderica, Jason/industry custody leads &amp; DTCC (Christian Sabella) — repeatedly advanced operational custody and post‑trade infrastructure proposals that staff referenced as practical templates. Evidence: custody and tokenization meetings. (FACTS/ANALYSIS)</w:t>
      </w:r>
    </w:p>
    <w:p>
      <w:pPr>
        <w:pStyle w:val="BodyText"/>
      </w:pPr>
      <w:r>
        <w:t xml:space="preserve">Actionable executive note: prioritize engagement on custody/qualified‑custodian comments, participate in or propose pilots aligned to SEC staff criteria, and document operational controls (audits, contracts, key ceremonies) in public submissions.</w:t>
      </w:r>
    </w:p>
    <w:p>
      <w:r>
        <w:pict>
          <v:rect style="width:0;height:1.5pt" o:hralign="center" o:hrstd="t" o:hr="t"/>
        </w:pict>
      </w:r>
    </w:p>
    <w:bookmarkEnd w:id="20"/>
    <w:bookmarkStart w:id="21" w:name="methodology-note"/>
    <w:p>
      <w:pPr>
        <w:pStyle w:val="Heading2"/>
      </w:pPr>
      <w:r>
        <w:t xml:space="preserve">2. METHODOLOGY NOTE</w:t>
      </w:r>
    </w:p>
    <w:p>
      <w:pPr>
        <w:pStyle w:val="FirstParagraph"/>
      </w:pPr>
      <w:r>
        <w:t xml:space="preserve">FACTS</w:t>
      </w:r>
      <w:r>
        <w:t xml:space="preserve"> </w:t>
      </w:r>
      <w:r>
        <w:t xml:space="preserve">- Meetings analyzed: 5 roundtable reports (files listed in Sources).</w:t>
      </w:r>
      <w:r>
        <w:t xml:space="preserve"> </w:t>
      </w:r>
      <w:r>
        <w:t xml:space="preserve">- Primary data sources: full meeting transcripts and parsed SEC meeting pages for metadata (panelists/affiliations) contained in the five report files.</w:t>
      </w:r>
      <w:r>
        <w:t xml:space="preserve"> </w:t>
      </w:r>
      <w:r>
        <w:t xml:space="preserve">- Additional context source: RAG search confirming Staff Accounting Bulletin No. 122 rescinding SAB 121 (SAB 122) (see Sources).</w:t>
      </w:r>
    </w:p>
    <w:p>
      <w:pPr>
        <w:pStyle w:val="BodyText"/>
      </w:pPr>
      <w:r>
        <w:t xml:space="preserve">ANALYSIS — approach</w:t>
      </w:r>
      <w:r>
        <w:t xml:space="preserve"> </w:t>
      </w:r>
      <w:r>
        <w:t xml:space="preserve">- Mixed qualitative aggregation: extracted topics, speaker roles, repeated signals (repetition, alignment with staff/commission statements, explicit staff directives), and cross‑meeting pattern detection.</w:t>
      </w:r>
      <w:r>
        <w:t xml:space="preserve"> </w:t>
      </w:r>
      <w:r>
        <w:t xml:space="preserve">- Speaker canonicalization: unified transcript variants where possible and matched roles by meeting metadata.</w:t>
      </w:r>
      <w:r>
        <w:t xml:space="preserve"> </w:t>
      </w:r>
      <w:r>
        <w:t xml:space="preserve">- Topic tagging: controlled taxonomy (see Section 5) applied to all speaker turns; created binary and depth engagement matrices.</w:t>
      </w:r>
    </w:p>
    <w:p>
      <w:pPr>
        <w:pStyle w:val="BodyText"/>
      </w:pPr>
      <w:r>
        <w:t xml:space="preserve">Confidence scoring methodology</w:t>
      </w:r>
      <w:r>
        <w:t xml:space="preserve"> </w:t>
      </w:r>
      <w:r>
        <w:t xml:space="preserve">- Evidence levels:</w:t>
      </w:r>
      <w:r>
        <w:t xml:space="preserve"> </w:t>
      </w:r>
      <w:r>
        <w:t xml:space="preserve">- FACT: direct quote or explicit meeting statement (documented transcript).</w:t>
      </w:r>
      <w:r>
        <w:t xml:space="preserve"> </w:t>
      </w:r>
      <w:r>
        <w:t xml:space="preserve">- HIGH CONFIDENCE ANALYSIS: repeated items appearing in ≥3 meetings or tied to explicit staff/Chair directives.</w:t>
      </w:r>
      <w:r>
        <w:t xml:space="preserve"> </w:t>
      </w:r>
      <w:r>
        <w:t xml:space="preserve">- INFERENCE: reasoned predictions where direct evidence is lacking (labeled as such).</w:t>
      </w:r>
      <w:r>
        <w:t xml:space="preserve"> </w:t>
      </w:r>
      <w:r>
        <w:t xml:space="preserve">- Prediction confidence:</w:t>
      </w:r>
      <w:r>
        <w:t xml:space="preserve"> </w:t>
      </w:r>
      <w:r>
        <w:t xml:space="preserve">- High = multiple direct statements + staff/Chair action.</w:t>
      </w:r>
      <w:r>
        <w:t xml:space="preserve"> </w:t>
      </w:r>
      <w:r>
        <w:t xml:space="preserve">- Medium = cross‑meeting convergence but absence of explicit commitments.</w:t>
      </w:r>
      <w:r>
        <w:t xml:space="preserve"> </w:t>
      </w:r>
      <w:r>
        <w:t xml:space="preserve">- Low = single meeting mention or single stakeholder advocacy.</w:t>
      </w:r>
    </w:p>
    <w:p>
      <w:pPr>
        <w:pStyle w:val="BodyText"/>
      </w:pPr>
      <w:r>
        <w:t xml:space="preserve">Meetings analyzed (files)</w:t>
      </w:r>
      <w:r>
        <w:t xml:space="preserve"> </w:t>
      </w:r>
      <w:r>
        <w:t xml:space="preserve">- SEC_Meeting_Report_how-we-got-here-how-we-get-out-defining-security-s.txt</w:t>
      </w:r>
      <w:r>
        <w:t xml:space="preserve"> </w:t>
      </w:r>
      <w:r>
        <w:t xml:space="preserve">- SEC_Meeting_Report_between-block-hard-place-tailoring-regulation-cryp.txt</w:t>
      </w:r>
      <w:r>
        <w:t xml:space="preserve"> </w:t>
      </w:r>
      <w:r>
        <w:t xml:space="preserve">- SEC_Meeting_Report_know-your-custodian-key-considerations-crypto-cust.txt</w:t>
      </w:r>
      <w:r>
        <w:t xml:space="preserve"> </w:t>
      </w:r>
      <w:r>
        <w:t xml:space="preserve">- SEC_Meeting_Report_tokenization-moving-assets-onchain-where-tradfi-de.txt</w:t>
      </w:r>
      <w:r>
        <w:t xml:space="preserve"> </w:t>
      </w:r>
      <w:r>
        <w:t xml:space="preserve">- SEC_Meeting_Report_defi-american-spirit.txt</w:t>
      </w:r>
    </w:p>
    <w:p>
      <w:r>
        <w:pict>
          <v:rect style="width:0;height:1.5pt" o:hralign="center" o:hrstd="t" o:hr="t"/>
        </w:pict>
      </w:r>
    </w:p>
    <w:bookmarkEnd w:id="21"/>
    <w:bookmarkStart w:id="22" w:name="crossmeeting-evidence-summary"/>
    <w:p>
      <w:pPr>
        <w:pStyle w:val="Heading2"/>
      </w:pPr>
      <w:r>
        <w:t xml:space="preserve">3. CROSS‑MEETING EVIDENCE SUMMARY</w:t>
      </w:r>
    </w:p>
    <w:p>
      <w:pPr>
        <w:pStyle w:val="FirstParagraph"/>
      </w:pPr>
      <w:r>
        <w:t xml:space="preserve">FACTS — Topic taxonomy (used in tables below)</w:t>
      </w:r>
      <w:r>
        <w:t xml:space="preserve"> </w:t>
      </w:r>
      <w:r>
        <w:t xml:space="preserve">- Howey / Securities Classification</w:t>
      </w:r>
      <w:r>
        <w:t xml:space="preserve"> </w:t>
      </w:r>
      <w:r>
        <w:t xml:space="preserve">- Control / Decentralization Tests</w:t>
      </w:r>
      <w:r>
        <w:t xml:space="preserve"> </w:t>
      </w:r>
      <w:r>
        <w:t xml:space="preserve">- Custody / Qualified Custodian</w:t>
      </w:r>
      <w:r>
        <w:t xml:space="preserve"> </w:t>
      </w:r>
      <w:r>
        <w:t xml:space="preserve">- Tokenization / Transfer Agent Modernization</w:t>
      </w:r>
      <w:r>
        <w:t xml:space="preserve"> </w:t>
      </w:r>
      <w:r>
        <w:t xml:space="preserve">- Market Structure / Trading / ATS / SPBD</w:t>
      </w:r>
      <w:r>
        <w:t xml:space="preserve"> </w:t>
      </w:r>
      <w:r>
        <w:t xml:space="preserve">- Settlement / Netting / Clearing</w:t>
      </w:r>
      <w:r>
        <w:t xml:space="preserve"> </w:t>
      </w:r>
      <w:r>
        <w:t xml:space="preserve">- Disclosure / Investor Protection / Fraud</w:t>
      </w:r>
      <w:r>
        <w:t xml:space="preserve"> </w:t>
      </w:r>
      <w:r>
        <w:t xml:space="preserve">- Enforcement / Litigation</w:t>
      </w:r>
      <w:r>
        <w:t xml:space="preserve"> </w:t>
      </w:r>
      <w:r>
        <w:t xml:space="preserve">- DeFi / Non‑custodial Activity / Code-as-speech</w:t>
      </w:r>
      <w:r>
        <w:t xml:space="preserve"> </w:t>
      </w:r>
      <w:r>
        <w:t xml:space="preserve">- AML / KYC / OFAC / Sanctions</w:t>
      </w:r>
      <w:r>
        <w:t xml:space="preserve"> </w:t>
      </w:r>
      <w:r>
        <w:t xml:space="preserve">- Staking / Liquid Staking / Productive Use</w:t>
      </w:r>
      <w:r>
        <w:t xml:space="preserve"> </w:t>
      </w:r>
      <w:r>
        <w:t xml:space="preserve">- Data / Surveillance / Consolidated Tape Analogue</w:t>
      </w:r>
      <w:r>
        <w:t xml:space="preserve"> </w:t>
      </w:r>
      <w:r>
        <w:t xml:space="preserve">- Sandboxes / Conditional Exemptive Relief / Pilots</w:t>
      </w:r>
      <w:r>
        <w:t xml:space="preserve"> </w:t>
      </w:r>
      <w:r>
        <w:t xml:space="preserve">- Inter‑agency / Legislative Gaps</w:t>
      </w:r>
      <w:r>
        <w:t xml:space="preserve"> </w:t>
      </w:r>
      <w:r>
        <w:t xml:space="preserve">- NFTs &amp; Special Asset Classes</w:t>
      </w:r>
    </w:p>
    <w:p>
      <w:pPr>
        <w:pStyle w:val="BodyText"/>
      </w:pPr>
      <w:r>
        <w:t xml:space="preserve">Topic × Meeting frequency (which topics appeared in which meetings)</w:t>
      </w:r>
      <w:r>
        <w:t xml:space="preserve"> </w:t>
      </w:r>
      <w:r>
        <w:t xml:space="preserve">| Topic | HowWeGotHere (Howey) | BetweenBlock (Trading) | KnowYourCustodian (Custody) | Tokenization (Tokenization) | DeFiAmericanSpirit (DeFi) | MeetingsMentioned |</w:t>
      </w:r>
      <w:r>
        <w:t xml:space="preserve"> </w:t>
      </w:r>
      <w:r>
        <w:t xml:space="preserve">|—|—:|—:|—:|—:|—:|—:|</w:t>
      </w:r>
      <w:r>
        <w:t xml:space="preserve"> </w:t>
      </w:r>
      <w:r>
        <w:t xml:space="preserve">| Howey / Securities Classification | Yes | Yes | Yes | Yes | Yes | 5 |</w:t>
      </w:r>
      <w:r>
        <w:t xml:space="preserve"> </w:t>
      </w:r>
      <w:r>
        <w:t xml:space="preserve">| Control / Decentralization Tests | Yes | No | Yes | Yes | Yes | 4 |</w:t>
      </w:r>
      <w:r>
        <w:t xml:space="preserve"> </w:t>
      </w:r>
      <w:r>
        <w:t xml:space="preserve">| Custody / Qualified Custodian | Yes | Yes | Yes | Yes | Yes | 5 |</w:t>
      </w:r>
      <w:r>
        <w:t xml:space="preserve"> </w:t>
      </w:r>
      <w:r>
        <w:t xml:space="preserve">| Tokenization / Transfer Agent | No | Yes | Yes | Yes | Yes | 4 |</w:t>
      </w:r>
      <w:r>
        <w:t xml:space="preserve"> </w:t>
      </w:r>
      <w:r>
        <w:t xml:space="preserve">| Market Structure / ATS / SPBD | No | Yes | Yes | Yes | No | 3 |</w:t>
      </w:r>
      <w:r>
        <w:t xml:space="preserve"> </w:t>
      </w:r>
      <w:r>
        <w:t xml:space="preserve">| Settlement / Netting / Clearing | No | Yes | Yes | Yes | No | 3 |</w:t>
      </w:r>
      <w:r>
        <w:t xml:space="preserve"> </w:t>
      </w:r>
      <w:r>
        <w:t xml:space="preserve">| Disclosure / Investor Protection / Fraud | Yes | Yes | Yes | Yes | Yes | 5 |</w:t>
      </w:r>
      <w:r>
        <w:t xml:space="preserve"> </w:t>
      </w:r>
      <w:r>
        <w:t xml:space="preserve">| Enforcement / Litigation | Yes | Yes | Yes | Yes | Yes | 5 |</w:t>
      </w:r>
      <w:r>
        <w:t xml:space="preserve"> </w:t>
      </w:r>
      <w:r>
        <w:t xml:space="preserve">| DeFi / Non‑custodial Activity | Yes | Yes | Yes | Yes | Yes | 5 |</w:t>
      </w:r>
      <w:r>
        <w:t xml:space="preserve"> </w:t>
      </w:r>
      <w:r>
        <w:t xml:space="preserve">| AML / KYC / Sanctions | No | Yes | Yes | Yes | Yes | 4 |</w:t>
      </w:r>
      <w:r>
        <w:t xml:space="preserve"> </w:t>
      </w:r>
      <w:r>
        <w:t xml:space="preserve">| Staking / Liquid Staking | No | No | Yes | Yes | Yes | 3 |</w:t>
      </w:r>
      <w:r>
        <w:t xml:space="preserve"> </w:t>
      </w:r>
      <w:r>
        <w:t xml:space="preserve">| Data / Surveillance / Consolidated Tape | No | Yes | Yes | Yes | No | 3 |</w:t>
      </w:r>
      <w:r>
        <w:t xml:space="preserve"> </w:t>
      </w:r>
      <w:r>
        <w:t xml:space="preserve">| Sandboxes / Conditional Exemptive Relief | Yes | Yes | Yes | Yes | Yes | 5 |</w:t>
      </w:r>
      <w:r>
        <w:t xml:space="preserve"> </w:t>
      </w:r>
      <w:r>
        <w:t xml:space="preserve">| Inter‑agency / Legislative Gaps | Yes | Yes | Yes | Yes | Yes | 5 |</w:t>
      </w:r>
      <w:r>
        <w:t xml:space="preserve"> </w:t>
      </w:r>
      <w:r>
        <w:t xml:space="preserve">| NFTs &amp; Special Asset Classes | Yes | No | Yes | Yes | Yes | 4 |</w:t>
      </w:r>
    </w:p>
    <w:p>
      <w:pPr>
        <w:pStyle w:val="BodyText"/>
      </w:pPr>
      <w:r>
        <w:t xml:space="preserve">Notes (FACTS/ANALYSIS)</w:t>
      </w:r>
      <w:r>
        <w:t xml:space="preserve"> </w:t>
      </w:r>
      <w:r>
        <w:t xml:space="preserve">- Presence = topic explicitly discussed in that meeting report. (Table: FACTS)</w:t>
      </w:r>
      <w:r>
        <w:t xml:space="preserve"> </w:t>
      </w:r>
      <w:r>
        <w:t xml:space="preserve">- Tokens/issues such as Howey, custody, disclosure, enforcement and sandboxes appeared across all five meetings — indicating cross‑cutting centrality. (ANALYSIS)</w:t>
      </w:r>
    </w:p>
    <w:p>
      <w:pPr>
        <w:pStyle w:val="BodyText"/>
      </w:pPr>
      <w:r>
        <w:t xml:space="preserve">Speaker × Topic engagement matrix (selected key speakers; depth: H = High, M = Medium, L = Low; stance: Support / Oppose / Neutral / Mixed)</w:t>
      </w:r>
      <w:r>
        <w:t xml:space="preserve"> </w:t>
      </w:r>
      <w:r>
        <w:t xml:space="preserve">| Speaker | Role | Howey | Custody | Tokenization | Market Structure | DeFi | Staking | Surveillance | Sandboxes | Primary stance summary |</w:t>
      </w:r>
      <w:r>
        <w:t xml:space="preserve"> </w:t>
      </w:r>
      <w:r>
        <w:t xml:space="preserve">|—|—|—:|—:|—:|—:|—:|—:|—:|—:|—|</w:t>
      </w:r>
      <w:r>
        <w:t xml:space="preserve"> </w:t>
      </w:r>
      <w:r>
        <w:t xml:space="preserve">| Chairman Atkins | SEC Chair | H (Neutral) | H (Support clarify QC) | H (Pro‑pilot/exemptive) | H (Support pilots) | H (Pro‑innovation w/ guardrails) | H (consider accommodation) | M (support data upgrade) | H (directed staff) | Prioritize clarity, pilots, and measured rule adaptation (Support) |</w:t>
      </w:r>
      <w:r>
        <w:t xml:space="preserve"> </w:t>
      </w:r>
      <w:r>
        <w:t xml:space="preserve">| Acting Chair Mark Uyeda | Acting Chair / SEC | M (Doctrinal caution) | M | M | H (advocated time‑limited relief) | L | L | L | M | Balance investor protection &amp; conditional relief (Mixed) |</w:t>
      </w:r>
      <w:r>
        <w:t xml:space="preserve"> </w:t>
      </w:r>
      <w:r>
        <w:t xml:space="preserve">| Nicholas Losurdo | Moderator / SEC counsel | L | M | M | H | M | L | M | H (agenda setter) | Agenda‑setting / elicited implementable steps (Neutral) |</w:t>
      </w:r>
      <w:r>
        <w:t xml:space="preserve"> </w:t>
      </w:r>
      <w:r>
        <w:t xml:space="preserve">| Chris Brummer | Academic / Bluprynt | H (Howey-as-risk) | L | L | L | L | L | L | M | Adapt doctrine to risk‑mapping; focus disclosure (Support) |</w:t>
      </w:r>
      <w:r>
        <w:t xml:space="preserve"> </w:t>
      </w:r>
      <w:r>
        <w:t xml:space="preserve">| John Reed Stark | Former SEC staff | H (Apply Howey enforcement) | L | L | L | L | L | L | L | Favors enforcement approach; investor protection prioritized (Support enforcement) |</w:t>
      </w:r>
      <w:r>
        <w:t xml:space="preserve"> </w:t>
      </w:r>
      <w:r>
        <w:t xml:space="preserve">| Miles (a16z) | Industry counsel | M (control test) | L | M | L | M | L | L | H (advocated sandboxes) | Favors control/decentralization test; pro‑innovation (Support) |</w:t>
      </w:r>
      <w:r>
        <w:t xml:space="preserve"> </w:t>
      </w:r>
      <w:r>
        <w:t xml:space="preserve">| Jason Allegrante | Fireblocks (custody infra) | L | H (P: principles) | M | L | L | M | M | M | Technology‑neutral custody standards, audits (Support) |</w:t>
      </w:r>
      <w:r>
        <w:t xml:space="preserve"> </w:t>
      </w:r>
      <w:r>
        <w:t xml:space="preserve">| Rachel Anderica | Anchorage Digital Bank | L | H (Bank model/charter) | M | L | L | L | L | M | Advocate for chartered bank model recognition (Support) |</w:t>
      </w:r>
      <w:r>
        <w:t xml:space="preserve"> </w:t>
      </w:r>
      <w:r>
        <w:t xml:space="preserve">| Christian Sabella | DTCC | L | M | H | H | L | M | H | M | Post‑trade infrastructure modernization (Support) |</w:t>
      </w:r>
      <w:r>
        <w:t xml:space="preserve"> </w:t>
      </w:r>
      <w:r>
        <w:t xml:space="preserve">| Chris Brummer | (duplicate consolidated above) | | | | | | | | | |</w:t>
      </w:r>
      <w:r>
        <w:t xml:space="preserve"> </w:t>
      </w:r>
      <w:r>
        <w:t xml:space="preserve">| Koi / Rodrigo / Teresa (practitioners) | Law firms / counsel | H/M | M | M | L | M | L | L | M | Seek tailored doctrines (Mixed) |</w:t>
      </w:r>
      <w:r>
        <w:t xml:space="preserve"> </w:t>
      </w:r>
      <w:r>
        <w:t xml:space="preserve">| Katherine Minarik | DeFi rep | L | L | M | L | H | L | L | H | Protect self‑custody and non‑intermediated flows (Oppose heavy intermediated regulation) |</w:t>
      </w:r>
    </w:p>
    <w:p>
      <w:pPr>
        <w:pStyle w:val="BodyText"/>
      </w:pPr>
      <w:r>
        <w:t xml:space="preserve">Notes</w:t>
      </w:r>
      <w:r>
        <w:t xml:space="preserve"> </w:t>
      </w:r>
      <w:r>
        <w:t xml:space="preserve">- Depth codes and stance were scored from meeting reports’ descriptions of each speaker’s main remarks. (FACTS)</w:t>
      </w:r>
      <w:r>
        <w:t xml:space="preserve"> </w:t>
      </w:r>
      <w:r>
        <w:t xml:space="preserve">- Matrix rows limited to speakers who appeared with significant contributions in the reports. (ANALYSIS)</w:t>
      </w:r>
    </w:p>
    <w:p>
      <w:pPr>
        <w:pStyle w:val="BodyText"/>
      </w:pPr>
      <w:r>
        <w:t xml:space="preserve">Ideas appearing in ≥3 meetings (recurring themes) — FACTS</w:t>
      </w:r>
      <w:r>
        <w:t xml:space="preserve"> </w:t>
      </w:r>
      <w:r>
        <w:t xml:space="preserve">- Need for clarity on custody/qualified‑custodian standards and auditable evidence (custody, tokenization, trading, DeFi, Howey).</w:t>
      </w:r>
      <w:r>
        <w:t xml:space="preserve"> </w:t>
      </w:r>
      <w:r>
        <w:t xml:space="preserve">- Staff‑led pilots/sandboxes/conditional exemptive relief as intermediate policy instruments (all five meetings).</w:t>
      </w:r>
      <w:r>
        <w:t xml:space="preserve"> </w:t>
      </w:r>
      <w:r>
        <w:t xml:space="preserve">- Importance of a technology‑neutral, principles‑based approach (custody, tokenization, DeFi).</w:t>
      </w:r>
      <w:r>
        <w:t xml:space="preserve"> </w:t>
      </w:r>
      <w:r>
        <w:t xml:space="preserve">- Control / decentralization as a practical analytic axis to derisk tokens (Howey, DeFi, tokenization).</w:t>
      </w:r>
      <w:r>
        <w:t xml:space="preserve"> </w:t>
      </w:r>
      <w:r>
        <w:t xml:space="preserve">- Market structure modernization (ATS/SPBD, consolidated tape analogue, settlement innovation) needed to support onshore tokenized trading (trading, tokenization, custody).</w:t>
      </w:r>
    </w:p>
    <w:p>
      <w:pPr>
        <w:pStyle w:val="BodyText"/>
      </w:pPr>
      <w:r>
        <w:t xml:space="preserve">Single‑meeting mentions (isolated ideas) — FACTS</w:t>
      </w:r>
      <w:r>
        <w:t xml:space="preserve"> </w:t>
      </w:r>
      <w:r>
        <w:t xml:space="preserve">- Howey risk‑mapping phrasing and conceptual framing was strongest in the</w:t>
      </w:r>
      <w:r>
        <w:t xml:space="preserve"> </w:t>
      </w:r>
      <w:r>
        <w:t xml:space="preserve">“</w:t>
      </w:r>
      <w:r>
        <w:t xml:space="preserve">How We Got Here</w:t>
      </w:r>
      <w:r>
        <w:t xml:space="preserve">”</w:t>
      </w:r>
      <w:r>
        <w:t xml:space="preserve"> </w:t>
      </w:r>
      <w:r>
        <w:t xml:space="preserve">meeting (Chris Brummer’s framing).</w:t>
      </w:r>
      <w:r>
        <w:t xml:space="preserve"> </w:t>
      </w:r>
      <w:r>
        <w:t xml:space="preserve">- Specific DTCC</w:t>
      </w:r>
      <w:r>
        <w:t xml:space="preserve"> </w:t>
      </w:r>
      <w:r>
        <w:t xml:space="preserve">“</w:t>
      </w:r>
      <w:r>
        <w:t xml:space="preserve">Project Ion</w:t>
      </w:r>
      <w:r>
        <w:t xml:space="preserve">”</w:t>
      </w:r>
      <w:r>
        <w:t xml:space="preserve"> </w:t>
      </w:r>
      <w:r>
        <w:t xml:space="preserve">experiments were principally described in the Tokenization meeting (Christian Sabella).</w:t>
      </w:r>
      <w:r>
        <w:t xml:space="preserve"> </w:t>
      </w:r>
      <w:r>
        <w:t xml:space="preserve">- EtherDelta / Coburn case and code‑as‑speech legal framing had strongest presence in DeFi meeting (Commissioner Pur &amp; panelists).</w:t>
      </w:r>
    </w:p>
    <w:p>
      <w:r>
        <w:pict>
          <v:rect style="width:0;height:1.5pt" o:hralign="center" o:hrstd="t" o:hr="t"/>
        </w:pict>
      </w:r>
    </w:p>
    <w:bookmarkEnd w:id="22"/>
    <w:bookmarkStart w:id="23" w:name="X112f1e0aafa209b099b95a25a95a18175ccdc0f"/>
    <w:p>
      <w:pPr>
        <w:pStyle w:val="Heading2"/>
      </w:pPr>
      <w:r>
        <w:t xml:space="preserve">4. SPEAKER ANALYSIS WITH CLEAR INFLUENCE SEPARATION</w:t>
      </w:r>
    </w:p>
    <w:p>
      <w:pPr>
        <w:pStyle w:val="FirstParagraph"/>
      </w:pPr>
      <w:r>
        <w:t xml:space="preserve">Format: For each key speaker — Authority / Influence indicators / Likelihood of Policy Impact / Meetings participated / Combined views / Position evolution.</w:t>
      </w:r>
    </w:p>
    <w:p>
      <w:pPr>
        <w:pStyle w:val="BodyText"/>
      </w:pPr>
      <w:r>
        <w:t xml:space="preserve">Note: Authority = formal regulatory role (Commissioner/Chair higher); Influence = evidence-based composite (repetition across meetings, agenda-setting, alignment with staff action, follow‑up directives). All claims referencing meetings are FACTS drawn from meeting reports.</w:t>
      </w:r>
    </w:p>
    <w:p>
      <w:pPr>
        <w:pStyle w:val="BodyText"/>
      </w:pPr>
      <w:r>
        <w:t xml:space="preserve">Influence tiers (summary table)</w:t>
      </w:r>
      <w:r>
        <w:t xml:space="preserve"> </w:t>
      </w:r>
      <w:r>
        <w:t xml:space="preserve">| Influence Tier | Representative individuals | Evidence indicators |</w:t>
      </w:r>
      <w:r>
        <w:t xml:space="preserve"> </w:t>
      </w:r>
      <w:r>
        <w:t xml:space="preserve">|—|—|—|</w:t>
      </w:r>
      <w:r>
        <w:t xml:space="preserve"> </w:t>
      </w:r>
      <w:r>
        <w:t xml:space="preserve">| Tier 1 — High Influence | Chairman Atkins; Acting Chair Mark Uyeda | Formal authority + staff directives (Atkins); framing speeches + policy suggestions (Uyeda); appeared in multiple meetings; linked to explicit staff tasks (Atkins). |</w:t>
      </w:r>
      <w:r>
        <w:t xml:space="preserve"> </w:t>
      </w:r>
      <w:r>
        <w:t xml:space="preserve">| Tier 2 — Medium Influence | Nicholas Losurdo; Nicholas/Tyler‑like moderators; Christian Sabella (DTCC); Jason Allegrante; Rachel Anderica | Agenda‑setting, repeated cross‑meeting engagement, operational proposals referenced by staff. |</w:t>
      </w:r>
      <w:r>
        <w:t xml:space="preserve"> </w:t>
      </w:r>
      <w:r>
        <w:t xml:space="preserve">| Tier 3 — Lower Influence | Academic &amp; industry panelists (Chris Brummer, Miles, John Reed Stark, Katherine Minarik, Teresa, Rodrigo) | Strong subject‑matter influence; primarily persuasive rather than formal decision authority. |</w:t>
      </w:r>
    </w:p>
    <w:p>
      <w:pPr>
        <w:pStyle w:val="BodyText"/>
      </w:pPr>
      <w:r>
        <w:t xml:space="preserve">Key speaker profiles (selected)</w:t>
      </w:r>
    </w:p>
    <w:p>
      <w:pPr>
        <w:pStyle w:val="Compact"/>
        <w:numPr>
          <w:ilvl w:val="0"/>
          <w:numId w:val="1001"/>
        </w:numPr>
      </w:pPr>
      <w:r>
        <w:t xml:space="preserve">Chairman Atkins</w:t>
      </w:r>
    </w:p>
    <w:p>
      <w:pPr>
        <w:pStyle w:val="Compact"/>
        <w:numPr>
          <w:ilvl w:val="0"/>
          <w:numId w:val="1002"/>
        </w:numPr>
      </w:pPr>
      <w:r>
        <w:t xml:space="preserve">Authority: SEC Chair (formal rulemaking/institutional authority).</w:t>
      </w:r>
    </w:p>
    <w:p>
      <w:pPr>
        <w:pStyle w:val="Compact"/>
        <w:numPr>
          <w:ilvl w:val="0"/>
          <w:numId w:val="1002"/>
        </w:numPr>
      </w:pPr>
      <w:r>
        <w:t xml:space="preserve">Influence (evidence):</w:t>
      </w:r>
    </w:p>
    <w:p>
      <w:pPr>
        <w:pStyle w:val="Compact"/>
        <w:numPr>
          <w:ilvl w:val="1"/>
          <w:numId w:val="1003"/>
        </w:numPr>
      </w:pPr>
      <w:r>
        <w:t xml:space="preserve">Directed staff to consider conditional exemptive relief (Tokenization &amp; DeFi reports). [FACT]</w:t>
      </w:r>
    </w:p>
    <w:p>
      <w:pPr>
        <w:pStyle w:val="Compact"/>
        <w:numPr>
          <w:ilvl w:val="1"/>
          <w:numId w:val="1003"/>
        </w:numPr>
      </w:pPr>
      <w:r>
        <w:t xml:space="preserve">Repeated priority setting on issuance, custody, trading across meetings. [FACT]</w:t>
      </w:r>
    </w:p>
    <w:p>
      <w:pPr>
        <w:pStyle w:val="Compact"/>
        <w:numPr>
          <w:ilvl w:val="0"/>
          <w:numId w:val="1002"/>
        </w:numPr>
      </w:pPr>
      <w:r>
        <w:t xml:space="preserve">Likelihood of Policy Impact: High — Chair’s staff directives and repeated public framing make his views likely to shape staff work and near‑term policy options.</w:t>
      </w:r>
    </w:p>
    <w:p>
      <w:pPr>
        <w:pStyle w:val="Compact"/>
        <w:numPr>
          <w:ilvl w:val="0"/>
          <w:numId w:val="1002"/>
        </w:numPr>
      </w:pPr>
      <w:r>
        <w:t xml:space="preserve">Meetings participated in: Tokenization (may_12_2025.txt), DeFi (june_9_2025.txt), Custody (april_28_2025.txt) (per meeting reports).</w:t>
      </w:r>
    </w:p>
    <w:p>
      <w:pPr>
        <w:pStyle w:val="Compact"/>
        <w:numPr>
          <w:ilvl w:val="0"/>
          <w:numId w:val="1002"/>
        </w:numPr>
      </w:pPr>
      <w:r>
        <w:t xml:space="preserve">Combined views: favors technology‑neutral frameworks, pilots/exemptive relief, and preserving investor protection. (FACT)</w:t>
      </w:r>
    </w:p>
    <w:p>
      <w:pPr>
        <w:pStyle w:val="Compact"/>
        <w:numPr>
          <w:ilvl w:val="0"/>
          <w:numId w:val="1002"/>
        </w:numPr>
      </w:pPr>
      <w:r>
        <w:t xml:space="preserve">Evolution/consistency: Consistently emphasized pilots, staff work and rulemaking where necessary (consistent). (ANALYSIS)</w:t>
      </w:r>
    </w:p>
    <w:p>
      <w:pPr>
        <w:pStyle w:val="Compact"/>
        <w:numPr>
          <w:ilvl w:val="0"/>
          <w:numId w:val="1004"/>
        </w:numPr>
      </w:pPr>
      <w:r>
        <w:t xml:space="preserve">Acting Chair Mark Uyeda</w:t>
      </w:r>
    </w:p>
    <w:p>
      <w:pPr>
        <w:pStyle w:val="Compact"/>
        <w:numPr>
          <w:ilvl w:val="0"/>
          <w:numId w:val="1005"/>
        </w:numPr>
      </w:pPr>
      <w:r>
        <w:t xml:space="preserve">Authority: Acting Chair (formal office when speaking during trading roundtable).</w:t>
      </w:r>
    </w:p>
    <w:p>
      <w:pPr>
        <w:pStyle w:val="Compact"/>
        <w:numPr>
          <w:ilvl w:val="0"/>
          <w:numId w:val="1005"/>
        </w:numPr>
      </w:pPr>
      <w:r>
        <w:t xml:space="preserve">Influence:</w:t>
      </w:r>
    </w:p>
    <w:p>
      <w:pPr>
        <w:pStyle w:val="Compact"/>
        <w:numPr>
          <w:ilvl w:val="1"/>
          <w:numId w:val="1006"/>
        </w:numPr>
      </w:pPr>
      <w:r>
        <w:t xml:space="preserve">Advocated time‑limited conditional exemptive relief in trading roundtable. [FACT]</w:t>
      </w:r>
    </w:p>
    <w:p>
      <w:pPr>
        <w:pStyle w:val="Compact"/>
        <w:numPr>
          <w:ilvl w:val="1"/>
          <w:numId w:val="1006"/>
        </w:numPr>
      </w:pPr>
      <w:r>
        <w:t xml:space="preserve">Framed need to balance innovation and investor protection. [FACT]</w:t>
      </w:r>
    </w:p>
    <w:p>
      <w:pPr>
        <w:pStyle w:val="Compact"/>
        <w:numPr>
          <w:ilvl w:val="0"/>
          <w:numId w:val="1005"/>
        </w:numPr>
      </w:pPr>
      <w:r>
        <w:t xml:space="preserve">Likelihood of Policy Impact: Medium‑High — formal role, but influence moderated by Chair Atkins’ later directives. (ANALYSIS)</w:t>
      </w:r>
    </w:p>
    <w:p>
      <w:pPr>
        <w:pStyle w:val="Compact"/>
        <w:numPr>
          <w:ilvl w:val="0"/>
          <w:numId w:val="1005"/>
        </w:numPr>
      </w:pPr>
      <w:r>
        <w:t xml:space="preserve">Meetings: Trading (april_11_2025.txt), Howey (earlier roundtable presence noted). (FACT)</w:t>
      </w:r>
    </w:p>
    <w:p>
      <w:pPr>
        <w:pStyle w:val="Compact"/>
        <w:numPr>
          <w:ilvl w:val="0"/>
          <w:numId w:val="1005"/>
        </w:numPr>
      </w:pPr>
      <w:r>
        <w:t xml:space="preserve">Combined views: open to experimental relief while emphasizing investor protection. (FACT)</w:t>
      </w:r>
    </w:p>
    <w:p>
      <w:pPr>
        <w:pStyle w:val="Compact"/>
        <w:numPr>
          <w:ilvl w:val="0"/>
          <w:numId w:val="1005"/>
        </w:numPr>
      </w:pPr>
      <w:r>
        <w:t xml:space="preserve">Evolution: steady toward practical, conditional relief (consistent). (ANALYSIS)</w:t>
      </w:r>
    </w:p>
    <w:p>
      <w:pPr>
        <w:pStyle w:val="Compact"/>
        <w:numPr>
          <w:ilvl w:val="0"/>
          <w:numId w:val="1007"/>
        </w:numPr>
      </w:pPr>
      <w:r>
        <w:t xml:space="preserve">Nicholas Losurdo (moderator / SEC counsel)</w:t>
      </w:r>
    </w:p>
    <w:p>
      <w:pPr>
        <w:pStyle w:val="Compact"/>
        <w:numPr>
          <w:ilvl w:val="0"/>
          <w:numId w:val="1008"/>
        </w:numPr>
      </w:pPr>
      <w:r>
        <w:t xml:space="preserve">Authority: SEC counsel / moderator (agenda power).</w:t>
      </w:r>
    </w:p>
    <w:p>
      <w:pPr>
        <w:pStyle w:val="Compact"/>
        <w:numPr>
          <w:ilvl w:val="0"/>
          <w:numId w:val="1008"/>
        </w:numPr>
      </w:pPr>
      <w:r>
        <w:t xml:space="preserve">Influence:</w:t>
      </w:r>
    </w:p>
    <w:p>
      <w:pPr>
        <w:pStyle w:val="Compact"/>
        <w:numPr>
          <w:ilvl w:val="1"/>
          <w:numId w:val="1009"/>
        </w:numPr>
      </w:pPr>
      <w:r>
        <w:t xml:space="preserve">Set</w:t>
      </w:r>
      <w:r>
        <w:t xml:space="preserve"> </w:t>
      </w:r>
      <w:r>
        <w:t xml:space="preserve">“</w:t>
      </w:r>
      <w:r>
        <w:t xml:space="preserve">who/what/how</w:t>
      </w:r>
      <w:r>
        <w:t xml:space="preserve">”</w:t>
      </w:r>
      <w:r>
        <w:t xml:space="preserve"> </w:t>
      </w:r>
      <w:r>
        <w:t xml:space="preserve">taxonomy that produced actionable items in trading roundtable. [FACT]</w:t>
      </w:r>
    </w:p>
    <w:p>
      <w:pPr>
        <w:pStyle w:val="Compact"/>
        <w:numPr>
          <w:ilvl w:val="1"/>
          <w:numId w:val="1009"/>
        </w:numPr>
      </w:pPr>
      <w:r>
        <w:t xml:space="preserve">Repeatedly elicited implementable solutions leading to staff homework. [FACT]</w:t>
      </w:r>
    </w:p>
    <w:p>
      <w:pPr>
        <w:pStyle w:val="Compact"/>
        <w:numPr>
          <w:ilvl w:val="0"/>
          <w:numId w:val="1008"/>
        </w:numPr>
      </w:pPr>
      <w:r>
        <w:t xml:space="preserve">Likelihood of Policy Impact: Medium — no formal vote but high agenda power and internal influence on staff outputs. (ANALYSIS)</w:t>
      </w:r>
    </w:p>
    <w:p>
      <w:pPr>
        <w:pStyle w:val="Compact"/>
        <w:numPr>
          <w:ilvl w:val="0"/>
          <w:numId w:val="1008"/>
        </w:numPr>
      </w:pPr>
      <w:r>
        <w:t xml:space="preserve">Meetings: Trading (april_11_2025.txt) and other panels as moderator. (FACT)</w:t>
      </w:r>
    </w:p>
    <w:p>
      <w:pPr>
        <w:pStyle w:val="Compact"/>
        <w:numPr>
          <w:ilvl w:val="0"/>
          <w:numId w:val="1008"/>
        </w:numPr>
      </w:pPr>
      <w:r>
        <w:t xml:space="preserve">Combined views: function‑first regulation, emphasis on implementable steps. (FACT)</w:t>
      </w:r>
    </w:p>
    <w:p>
      <w:pPr>
        <w:pStyle w:val="Compact"/>
        <w:numPr>
          <w:ilvl w:val="0"/>
          <w:numId w:val="1008"/>
        </w:numPr>
      </w:pPr>
      <w:r>
        <w:t xml:space="preserve">Evolution: N/A (role consistent).</w:t>
      </w:r>
    </w:p>
    <w:p>
      <w:pPr>
        <w:pStyle w:val="Compact"/>
        <w:numPr>
          <w:ilvl w:val="0"/>
          <w:numId w:val="1010"/>
        </w:numPr>
      </w:pPr>
      <w:r>
        <w:t xml:space="preserve">Chris Brummer (academic / Bluprynt)</w:t>
      </w:r>
    </w:p>
    <w:p>
      <w:pPr>
        <w:pStyle w:val="Compact"/>
        <w:numPr>
          <w:ilvl w:val="0"/>
          <w:numId w:val="1011"/>
        </w:numPr>
      </w:pPr>
      <w:r>
        <w:t xml:space="preserve">Authority: Academic / industry expert (no formal SEC authority).</w:t>
      </w:r>
    </w:p>
    <w:p>
      <w:pPr>
        <w:pStyle w:val="Compact"/>
        <w:numPr>
          <w:ilvl w:val="0"/>
          <w:numId w:val="1011"/>
        </w:numPr>
      </w:pPr>
      <w:r>
        <w:t xml:space="preserve">Influence:</w:t>
      </w:r>
    </w:p>
    <w:p>
      <w:pPr>
        <w:pStyle w:val="Compact"/>
        <w:numPr>
          <w:ilvl w:val="1"/>
          <w:numId w:val="1012"/>
        </w:numPr>
      </w:pPr>
      <w:r>
        <w:t xml:space="preserve">High subject‑matter influence on doctrinal adaptation (Howey risk‑mapping). [FACT]</w:t>
      </w:r>
    </w:p>
    <w:p>
      <w:pPr>
        <w:pStyle w:val="Compact"/>
        <w:numPr>
          <w:ilvl w:val="1"/>
          <w:numId w:val="1012"/>
        </w:numPr>
      </w:pPr>
      <w:r>
        <w:t xml:space="preserve">Frequently provided framing used by others. [FACT]</w:t>
      </w:r>
    </w:p>
    <w:p>
      <w:pPr>
        <w:pStyle w:val="Compact"/>
        <w:numPr>
          <w:ilvl w:val="0"/>
          <w:numId w:val="1011"/>
        </w:numPr>
      </w:pPr>
      <w:r>
        <w:t xml:space="preserve">Likelihood of Policy Impact: Medium — strong influence on doctrinal framing and disclosure design, less direct impact on rule adoption. (ANALYSIS)</w:t>
      </w:r>
    </w:p>
    <w:p>
      <w:pPr>
        <w:pStyle w:val="Compact"/>
        <w:numPr>
          <w:ilvl w:val="0"/>
          <w:numId w:val="1011"/>
        </w:numPr>
      </w:pPr>
      <w:r>
        <w:t xml:space="preserve">Meetings: How We Got Here (march_21_2025.txt) primarily. (FACT)</w:t>
      </w:r>
    </w:p>
    <w:p>
      <w:pPr>
        <w:pStyle w:val="Compact"/>
        <w:numPr>
          <w:ilvl w:val="0"/>
          <w:numId w:val="1011"/>
        </w:numPr>
      </w:pPr>
      <w:r>
        <w:t xml:space="preserve">Combined views: adapt Howey prongs as risk categories; design disclosure for digital assets. (FACT)</w:t>
      </w:r>
    </w:p>
    <w:p>
      <w:pPr>
        <w:pStyle w:val="Compact"/>
        <w:numPr>
          <w:ilvl w:val="0"/>
          <w:numId w:val="1011"/>
        </w:numPr>
      </w:pPr>
      <w:r>
        <w:t xml:space="preserve">Evolution: moving from doctrinal critique to practical disclosure solutions (ANALYSIS).</w:t>
      </w:r>
    </w:p>
    <w:p>
      <w:pPr>
        <w:pStyle w:val="Compact"/>
        <w:numPr>
          <w:ilvl w:val="0"/>
          <w:numId w:val="1013"/>
        </w:numPr>
      </w:pPr>
      <w:r>
        <w:t xml:space="preserve">Jason Allegrante (Fireblocks)</w:t>
      </w:r>
    </w:p>
    <w:p>
      <w:pPr>
        <w:pStyle w:val="Compact"/>
        <w:numPr>
          <w:ilvl w:val="0"/>
          <w:numId w:val="1014"/>
        </w:numPr>
      </w:pPr>
      <w:r>
        <w:t xml:space="preserve">Authority: Industry custody infrastructure leader.</w:t>
      </w:r>
    </w:p>
    <w:p>
      <w:pPr>
        <w:pStyle w:val="Compact"/>
        <w:numPr>
          <w:ilvl w:val="0"/>
          <w:numId w:val="1014"/>
        </w:numPr>
      </w:pPr>
      <w:r>
        <w:t xml:space="preserve">Influence:</w:t>
      </w:r>
    </w:p>
    <w:p>
      <w:pPr>
        <w:pStyle w:val="Compact"/>
        <w:numPr>
          <w:ilvl w:val="1"/>
          <w:numId w:val="1015"/>
        </w:numPr>
      </w:pPr>
      <w:r>
        <w:t xml:space="preserve">Repeatedly advocated for principles‑based custody standards and objective evidence (contracts, audits). [FACT]</w:t>
      </w:r>
    </w:p>
    <w:p>
      <w:pPr>
        <w:pStyle w:val="Compact"/>
        <w:numPr>
          <w:ilvl w:val="1"/>
          <w:numId w:val="1015"/>
        </w:numPr>
      </w:pPr>
      <w:r>
        <w:t xml:space="preserve">Often cited by staff-level summaries as a workable approach. [FACT]</w:t>
      </w:r>
    </w:p>
    <w:p>
      <w:pPr>
        <w:pStyle w:val="Compact"/>
        <w:numPr>
          <w:ilvl w:val="0"/>
          <w:numId w:val="1014"/>
        </w:numPr>
      </w:pPr>
      <w:r>
        <w:t xml:space="preserve">Likelihood of Policy Impact: Medium — practical recommendations likely to be reflected in supervisory guidance/exam standards. (ANALYSIS)</w:t>
      </w:r>
    </w:p>
    <w:p>
      <w:pPr>
        <w:pStyle w:val="Compact"/>
        <w:numPr>
          <w:ilvl w:val="0"/>
          <w:numId w:val="1014"/>
        </w:numPr>
      </w:pPr>
      <w:r>
        <w:t xml:space="preserve">Meetings: Custody (april_28_2025.txt) and referenced in tokenization context. (FACT)</w:t>
      </w:r>
    </w:p>
    <w:p>
      <w:pPr>
        <w:pStyle w:val="Compact"/>
        <w:numPr>
          <w:ilvl w:val="0"/>
          <w:numId w:val="1014"/>
        </w:numPr>
      </w:pPr>
      <w:r>
        <w:t xml:space="preserve">Combined views: technology‑neutral standards, audits, contract evidence for control. (FACT)</w:t>
      </w:r>
    </w:p>
    <w:p>
      <w:pPr>
        <w:pStyle w:val="Compact"/>
        <w:numPr>
          <w:ilvl w:val="0"/>
          <w:numId w:val="1014"/>
        </w:numPr>
      </w:pPr>
      <w:r>
        <w:t xml:space="preserve">Evolution: consistent advocacy for principles + audits.</w:t>
      </w:r>
    </w:p>
    <w:p>
      <w:pPr>
        <w:pStyle w:val="Compact"/>
        <w:numPr>
          <w:ilvl w:val="0"/>
          <w:numId w:val="1016"/>
        </w:numPr>
      </w:pPr>
      <w:r>
        <w:t xml:space="preserve">Christian Sabella (DTCC)</w:t>
      </w:r>
    </w:p>
    <w:p>
      <w:pPr>
        <w:pStyle w:val="Compact"/>
        <w:numPr>
          <w:ilvl w:val="0"/>
          <w:numId w:val="1017"/>
        </w:numPr>
      </w:pPr>
      <w:r>
        <w:t xml:space="preserve">Authority: Senior post‑trade infrastructure exec.</w:t>
      </w:r>
    </w:p>
    <w:p>
      <w:pPr>
        <w:pStyle w:val="Compact"/>
        <w:numPr>
          <w:ilvl w:val="0"/>
          <w:numId w:val="1017"/>
        </w:numPr>
      </w:pPr>
      <w:r>
        <w:t xml:space="preserve">Influence:</w:t>
      </w:r>
    </w:p>
    <w:p>
      <w:pPr>
        <w:pStyle w:val="Compact"/>
        <w:numPr>
          <w:ilvl w:val="1"/>
          <w:numId w:val="1018"/>
        </w:numPr>
      </w:pPr>
      <w:r>
        <w:t xml:space="preserve">Brought DTCC experiments (Project Ion) and interoperability proposals into tokenization conversation. [FACT]</w:t>
      </w:r>
    </w:p>
    <w:p>
      <w:pPr>
        <w:pStyle w:val="Compact"/>
        <w:numPr>
          <w:ilvl w:val="0"/>
          <w:numId w:val="1017"/>
        </w:numPr>
      </w:pPr>
      <w:r>
        <w:t xml:space="preserve">Likelihood of Policy Impact: Medium — operational proposals will inform staff thinking on settlement/netting. (ANALYSIS)</w:t>
      </w:r>
    </w:p>
    <w:p>
      <w:pPr>
        <w:pStyle w:val="Compact"/>
        <w:numPr>
          <w:ilvl w:val="0"/>
          <w:numId w:val="1017"/>
        </w:numPr>
      </w:pPr>
      <w:r>
        <w:t xml:space="preserve">Meetings: Tokenization (may_12_2025.txt). (FACT)</w:t>
      </w:r>
    </w:p>
    <w:p>
      <w:pPr>
        <w:pStyle w:val="Compact"/>
        <w:numPr>
          <w:ilvl w:val="0"/>
          <w:numId w:val="1017"/>
        </w:numPr>
      </w:pPr>
      <w:r>
        <w:t xml:space="preserve">Combined views: support for interoperability standards and measured incorporation of ledger tech into post‑trade infrastructure. (FACT)</w:t>
      </w:r>
    </w:p>
    <w:p>
      <w:pPr>
        <w:pStyle w:val="Compact"/>
        <w:numPr>
          <w:ilvl w:val="0"/>
          <w:numId w:val="1017"/>
        </w:numPr>
      </w:pPr>
      <w:r>
        <w:t xml:space="preserve">Evolution: N/A (consistent).</w:t>
      </w:r>
    </w:p>
    <w:p>
      <w:pPr>
        <w:pStyle w:val="Compact"/>
        <w:numPr>
          <w:ilvl w:val="0"/>
          <w:numId w:val="1019"/>
        </w:numPr>
      </w:pPr>
      <w:r>
        <w:t xml:space="preserve">John Reed Stark</w:t>
      </w:r>
    </w:p>
    <w:p>
      <w:pPr>
        <w:pStyle w:val="Compact"/>
        <w:numPr>
          <w:ilvl w:val="0"/>
          <w:numId w:val="1020"/>
        </w:numPr>
      </w:pPr>
      <w:r>
        <w:t xml:space="preserve">Authority: Former SEC staff (public commentator).</w:t>
      </w:r>
    </w:p>
    <w:p>
      <w:pPr>
        <w:pStyle w:val="Compact"/>
        <w:numPr>
          <w:ilvl w:val="0"/>
          <w:numId w:val="1020"/>
        </w:numPr>
      </w:pPr>
      <w:r>
        <w:t xml:space="preserve">Influence:</w:t>
      </w:r>
    </w:p>
    <w:p>
      <w:pPr>
        <w:pStyle w:val="Compact"/>
        <w:numPr>
          <w:ilvl w:val="1"/>
          <w:numId w:val="1021"/>
        </w:numPr>
      </w:pPr>
      <w:r>
        <w:t xml:space="preserve">Strong enforcement‑oriented framing in Howey roundtable (protect investors via enforcement). [FACT]</w:t>
      </w:r>
    </w:p>
    <w:p>
      <w:pPr>
        <w:pStyle w:val="Compact"/>
        <w:numPr>
          <w:ilvl w:val="0"/>
          <w:numId w:val="1020"/>
        </w:numPr>
      </w:pPr>
      <w:r>
        <w:t xml:space="preserve">Likelihood of Policy Impact: Low‑Medium — influences enforcement culture but limited in rulemaking. (ANALYSIS)</w:t>
      </w:r>
    </w:p>
    <w:p>
      <w:pPr>
        <w:pStyle w:val="Compact"/>
        <w:numPr>
          <w:ilvl w:val="0"/>
          <w:numId w:val="1020"/>
        </w:numPr>
      </w:pPr>
      <w:r>
        <w:t xml:space="preserve">Meetings: How We Got Here (march_21_2025.txt). (FACT)</w:t>
      </w:r>
    </w:p>
    <w:p>
      <w:pPr>
        <w:pStyle w:val="Compact"/>
        <w:numPr>
          <w:ilvl w:val="0"/>
          <w:numId w:val="1020"/>
        </w:numPr>
      </w:pPr>
      <w:r>
        <w:t xml:space="preserve">Combined views: favors applying existing securities law vigorously. (FACT)</w:t>
      </w:r>
    </w:p>
    <w:p>
      <w:pPr>
        <w:pStyle w:val="Compact"/>
        <w:numPr>
          <w:ilvl w:val="0"/>
          <w:numId w:val="1022"/>
        </w:numPr>
      </w:pPr>
      <w:r>
        <w:t xml:space="preserve">Miles (a16z) &amp; other industry counsel (Teresa, Rodrigo)</w:t>
      </w:r>
    </w:p>
    <w:p>
      <w:pPr>
        <w:pStyle w:val="Compact"/>
        <w:numPr>
          <w:ilvl w:val="0"/>
          <w:numId w:val="1023"/>
        </w:numPr>
      </w:pPr>
      <w:r>
        <w:t xml:space="preserve">Authority: Industry counsel/VCs (no formal SEC role).</w:t>
      </w:r>
    </w:p>
    <w:p>
      <w:pPr>
        <w:pStyle w:val="Compact"/>
        <w:numPr>
          <w:ilvl w:val="0"/>
          <w:numId w:val="1023"/>
        </w:numPr>
      </w:pPr>
      <w:r>
        <w:t xml:space="preserve">Influence:</w:t>
      </w:r>
    </w:p>
    <w:p>
      <w:pPr>
        <w:pStyle w:val="Compact"/>
        <w:numPr>
          <w:ilvl w:val="1"/>
          <w:numId w:val="1024"/>
        </w:numPr>
      </w:pPr>
      <w:r>
        <w:t xml:space="preserve">Advanced control/decentralization tests and practical policy proposals (safe harbors). [FACT]</w:t>
      </w:r>
    </w:p>
    <w:p>
      <w:pPr>
        <w:pStyle w:val="Compact"/>
        <w:numPr>
          <w:ilvl w:val="0"/>
          <w:numId w:val="1023"/>
        </w:numPr>
      </w:pPr>
      <w:r>
        <w:t xml:space="preserve">Likelihood of Policy Impact: Medium — their proposals are influential among industry and some Commissioners; however, doctrinal dispute remains. (ANALYSIS)</w:t>
      </w:r>
    </w:p>
    <w:p>
      <w:pPr>
        <w:pStyle w:val="Compact"/>
        <w:numPr>
          <w:ilvl w:val="0"/>
          <w:numId w:val="1023"/>
        </w:numPr>
      </w:pPr>
      <w:r>
        <w:t xml:space="preserve">Meetings: Howey roundtable, trading, tokenization. (FACT)</w:t>
      </w:r>
    </w:p>
    <w:p>
      <w:pPr>
        <w:pStyle w:val="Compact"/>
        <w:numPr>
          <w:ilvl w:val="0"/>
          <w:numId w:val="1023"/>
        </w:numPr>
      </w:pPr>
      <w:r>
        <w:t xml:space="preserve">Combined views: favor operational tests, sandboxes, and conditional relief. (FACT)</w:t>
      </w:r>
    </w:p>
    <w:p>
      <w:pPr>
        <w:pStyle w:val="FirstParagraph"/>
      </w:pPr>
      <w:r>
        <w:t xml:space="preserve">(Additional speaker analyses available on request; above are the most frequently referenced across meetings.)</w:t>
      </w:r>
    </w:p>
    <w:p>
      <w:r>
        <w:pict>
          <v:rect style="width:0;height:1.5pt" o:hralign="center" o:hrstd="t" o:hr="t"/>
        </w:pict>
      </w:r>
    </w:p>
    <w:bookmarkEnd w:id="23"/>
    <w:bookmarkStart w:id="24" w:name="topic-tagging-for-speakers"/>
    <w:p>
      <w:pPr>
        <w:pStyle w:val="Heading2"/>
      </w:pPr>
      <w:r>
        <w:t xml:space="preserve">5. TOPIC TAGGING FOR SPEAKERS</w:t>
      </w:r>
    </w:p>
    <w:p>
      <w:pPr>
        <w:pStyle w:val="FirstParagraph"/>
      </w:pPr>
      <w:r>
        <w:t xml:space="preserve">FACTS — Topic taxonomy (short list)</w:t>
      </w:r>
      <w:r>
        <w:t xml:space="preserve"> </w:t>
      </w:r>
      <w:r>
        <w:t xml:space="preserve">- Howey / Securities Classification</w:t>
      </w:r>
      <w:r>
        <w:t xml:space="preserve"> </w:t>
      </w:r>
      <w:r>
        <w:t xml:space="preserve">- Control / Decentralization</w:t>
      </w:r>
      <w:r>
        <w:t xml:space="preserve"> </w:t>
      </w:r>
      <w:r>
        <w:t xml:space="preserve">- Custody / Qualified Custodian</w:t>
      </w:r>
      <w:r>
        <w:t xml:space="preserve"> </w:t>
      </w:r>
      <w:r>
        <w:t xml:space="preserve">- Tokenization / Transfer Agent</w:t>
      </w:r>
      <w:r>
        <w:t xml:space="preserve"> </w:t>
      </w:r>
      <w:r>
        <w:t xml:space="preserve">- Market Structure / ATS / SPBD</w:t>
      </w:r>
      <w:r>
        <w:t xml:space="preserve"> </w:t>
      </w:r>
      <w:r>
        <w:t xml:space="preserve">- Settlement / Netting / Clearing</w:t>
      </w:r>
      <w:r>
        <w:t xml:space="preserve"> </w:t>
      </w:r>
      <w:r>
        <w:t xml:space="preserve">- Disclosure / Investor Protection</w:t>
      </w:r>
      <w:r>
        <w:t xml:space="preserve"> </w:t>
      </w:r>
      <w:r>
        <w:t xml:space="preserve">- Enforcement / Litigation</w:t>
      </w:r>
      <w:r>
        <w:t xml:space="preserve"> </w:t>
      </w:r>
      <w:r>
        <w:t xml:space="preserve">- DeFi / Non‑custodial Systems</w:t>
      </w:r>
      <w:r>
        <w:t xml:space="preserve"> </w:t>
      </w:r>
      <w:r>
        <w:t xml:space="preserve">- AML / KYC / Sanctions</w:t>
      </w:r>
      <w:r>
        <w:t xml:space="preserve"> </w:t>
      </w:r>
      <w:r>
        <w:t xml:space="preserve">- Staking / Liquid Staking</w:t>
      </w:r>
      <w:r>
        <w:t xml:space="preserve"> </w:t>
      </w:r>
      <w:r>
        <w:t xml:space="preserve">- Data / Surveillance</w:t>
      </w:r>
      <w:r>
        <w:t xml:space="preserve"> </w:t>
      </w:r>
      <w:r>
        <w:t xml:space="preserve">- Sandboxes / Pilots / Conditional Exemptive Relief</w:t>
      </w:r>
      <w:r>
        <w:t xml:space="preserve"> </w:t>
      </w:r>
      <w:r>
        <w:t xml:space="preserve">- Inter‑agency / Legislative Coordination</w:t>
      </w:r>
      <w:r>
        <w:t xml:space="preserve"> </w:t>
      </w:r>
      <w:r>
        <w:t xml:space="preserve">- NFTs &amp; Special Assets</w:t>
      </w:r>
    </w:p>
    <w:p>
      <w:pPr>
        <w:pStyle w:val="BodyText"/>
      </w:pPr>
      <w:r>
        <w:t xml:space="preserve">Speaker × Topic matrix (selected speakers; Depth H/M/L, Stance: Support/Oppose/Neutral/Mixed)</w:t>
      </w:r>
      <w:r>
        <w:t xml:space="preserve"> </w:t>
      </w:r>
      <w:r>
        <w:t xml:space="preserve">| Speaker | Howey | Control | Custody | Tokenization | Market Structure | DeFi | Staking | Surveillance | Sandboxes | Primary stance |</w:t>
      </w:r>
      <w:r>
        <w:t xml:space="preserve"> </w:t>
      </w:r>
      <w:r>
        <w:t xml:space="preserve">|—|—:|—:|—:|—:|—:|—:|—:|—:|—:|—|</w:t>
      </w:r>
      <w:r>
        <w:t xml:space="preserve"> </w:t>
      </w:r>
      <w:r>
        <w:t xml:space="preserve">| Chairman Atkins | H / Neutral | H / Neutral | H / Support | H / Support | H / Support | H / Support w/ guardrails | H / Support consider | M / Support | H / Support | Pro‑clarity, pilots, measured rulemaking |</w:t>
      </w:r>
      <w:r>
        <w:t xml:space="preserve"> </w:t>
      </w:r>
      <w:r>
        <w:t xml:space="preserve">| Mark Uyeda | M / Neutral | M / Neutral | M / Neutral | M / Support | H / Support | L / Neutral | L / Neutral | L / Neutral | M / Support | Balance innovation &amp; protection |</w:t>
      </w:r>
      <w:r>
        <w:t xml:space="preserve"> </w:t>
      </w:r>
      <w:r>
        <w:t xml:space="preserve">| Chris Brummer | H / Support (adaptation) | H / Support | L / Neutral | L / Neutral | L / Neutral | L / Neutral | L / Neutral | L / Neutral | M / Support | Howey as risk map; disclosure focus |</w:t>
      </w:r>
      <w:r>
        <w:t xml:space="preserve"> </w:t>
      </w:r>
      <w:r>
        <w:t xml:space="preserve">| John Reed Stark | H / Support (apply) | L / Neutral | L / Neutral | L / Neutral | L / Neutral | L / Neutral | L / Neutral | L / Support enforcement | L / Neutral | Enforcement‑first; investor protection priority |</w:t>
      </w:r>
      <w:r>
        <w:t xml:space="preserve"> </w:t>
      </w:r>
      <w:r>
        <w:t xml:space="preserve">| Miles (a16z) | M / Mixed | H / Support (control) | L / Neutral | M / Support | L / Neutral | M / Support | L / Neutral | L / Neutral | H / Support | Control/decentralization focus; pro‑pilots |</w:t>
      </w:r>
      <w:r>
        <w:t xml:space="preserve"> </w:t>
      </w:r>
      <w:r>
        <w:t xml:space="preserve">| Jason Allegrante | L / Neutral | M / Neutral | H / Support | M / Neutral | L / Neutral | L / Neutral | M / Neutral | M / Support | M / Support | Custody standards, audits, contracts |</w:t>
      </w:r>
      <w:r>
        <w:t xml:space="preserve"> </w:t>
      </w:r>
      <w:r>
        <w:t xml:space="preserve">| Rachel Anderica | L / Neutral | L / Neutral | H / Support (charter model) | M / Neutral | L / Neutral | L / Neutral | L / Neutral | L / Neutral | M / Neutral | Bank/charter recognition for custody |</w:t>
      </w:r>
      <w:r>
        <w:t xml:space="preserve"> </w:t>
      </w:r>
      <w:r>
        <w:t xml:space="preserve">| Christian Sabella | L / Neutral | L / Neutral | M / Neutral | H / Support | H / Support | L / Neutral | M / Neutral | H / Support | M / Support | Post‑trade modernization &amp; interoperability |</w:t>
      </w:r>
      <w:r>
        <w:t xml:space="preserve"> </w:t>
      </w:r>
      <w:r>
        <w:t xml:space="preserve">| Katherine Minarik | L / Neutral | M / Support | L / Oppose | L / Neutral | L / Neutral | H / Support (self‑custody) | L / Neutral | L / Neutral | H / Oppose (heavy handed) | Preserve self‑custody; oppose over‑intermediation |</w:t>
      </w:r>
    </w:p>
    <w:p>
      <w:pPr>
        <w:pStyle w:val="BodyText"/>
      </w:pPr>
      <w:r>
        <w:t xml:space="preserve">Notes</w:t>
      </w:r>
      <w:r>
        <w:t xml:space="preserve"> </w:t>
      </w:r>
      <w:r>
        <w:t xml:space="preserve">- Depth and stance are derived from meeting transcripts;</w:t>
      </w:r>
      <w:r>
        <w:t xml:space="preserve"> </w:t>
      </w:r>
      <w:r>
        <w:t xml:space="preserve">“</w:t>
      </w:r>
      <w:r>
        <w:t xml:space="preserve">Support</w:t>
      </w:r>
      <w:r>
        <w:t xml:space="preserve">”</w:t>
      </w:r>
      <w:r>
        <w:t xml:space="preserve"> </w:t>
      </w:r>
      <w:r>
        <w:t xml:space="preserve">means the speaker advocated for the topic or an enabling policy;</w:t>
      </w:r>
      <w:r>
        <w:t xml:space="preserve"> </w:t>
      </w:r>
      <w:r>
        <w:t xml:space="preserve">“</w:t>
      </w:r>
      <w:r>
        <w:t xml:space="preserve">Oppose</w:t>
      </w:r>
      <w:r>
        <w:t xml:space="preserve">”</w:t>
      </w:r>
      <w:r>
        <w:t xml:space="preserve"> </w:t>
      </w:r>
      <w:r>
        <w:t xml:space="preserve">means argued against regulatory imposition;</w:t>
      </w:r>
      <w:r>
        <w:t xml:space="preserve"> </w:t>
      </w:r>
      <w:r>
        <w:t xml:space="preserve">“</w:t>
      </w:r>
      <w:r>
        <w:t xml:space="preserve">Mixed</w:t>
      </w:r>
      <w:r>
        <w:t xml:space="preserve">”</w:t>
      </w:r>
      <w:r>
        <w:t xml:space="preserve"> </w:t>
      </w:r>
      <w:r>
        <w:t xml:space="preserve">indicates nuance. (FACTS/ANALYSIS)</w:t>
      </w:r>
    </w:p>
    <w:p>
      <w:r>
        <w:pict>
          <v:rect style="width:0;height:1.5pt" o:hralign="center" o:hrstd="t" o:hr="t"/>
        </w:pict>
      </w:r>
    </w:p>
    <w:bookmarkEnd w:id="24"/>
    <w:bookmarkStart w:id="25" w:name="X0f1af3b3b1d9d8d863131ca57f1c026337fb8ac"/>
    <w:p>
      <w:pPr>
        <w:pStyle w:val="Heading2"/>
      </w:pPr>
      <w:r>
        <w:t xml:space="preserve">6. MOST INFLUENTIAL STAKEHOLDER IDENTIFICATION</w:t>
      </w:r>
    </w:p>
    <w:p>
      <w:pPr>
        <w:pStyle w:val="FirstParagraph"/>
      </w:pPr>
      <w:r>
        <w:t xml:space="preserve">FACTS — Identification</w:t>
      </w:r>
      <w:r>
        <w:t xml:space="preserve"> </w:t>
      </w:r>
      <w:r>
        <w:t xml:space="preserve">- Single most influential stakeholder: Chairman Atkins (SEC Chair)</w:t>
      </w:r>
    </w:p>
    <w:p>
      <w:pPr>
        <w:pStyle w:val="BodyText"/>
      </w:pPr>
      <w:r>
        <w:t xml:space="preserve">Evidence-based justification</w:t>
      </w:r>
      <w:r>
        <w:t xml:space="preserve"> </w:t>
      </w:r>
      <w:r>
        <w:t xml:space="preserve">- Formal authority: as Chair, he directs staff priorities and public agenda; meetings record explicit staff tasking and public directives. (FACT)</w:t>
      </w:r>
      <w:r>
        <w:t xml:space="preserve"> </w:t>
      </w:r>
      <w:r>
        <w:t xml:space="preserve">- Substantive influence:</w:t>
      </w:r>
      <w:r>
        <w:t xml:space="preserve"> </w:t>
      </w:r>
      <w:r>
        <w:t xml:space="preserve">- Issued concrete staff direction to explore conditional exemptive relief / innovation exemption (Tokenization &amp; DeFi meetings). (FACT)</w:t>
      </w:r>
      <w:r>
        <w:t xml:space="preserve"> </w:t>
      </w:r>
      <w:r>
        <w:t xml:space="preserve">- His framing and public statements were repeatedly cited by panels as agenda shapers. (FACT)</w:t>
      </w:r>
      <w:r>
        <w:t xml:space="preserve"> </w:t>
      </w:r>
      <w:r>
        <w:t xml:space="preserve">- Policy impact likelihood: High — Chair’s explicit directives and repeated priority statements indicate high probability of shaping near‑term staff outputs (guidance, pilots, targeted rulemaking). (ANALYSIS)</w:t>
      </w:r>
    </w:p>
    <w:p>
      <w:pPr>
        <w:pStyle w:val="BodyText"/>
      </w:pPr>
      <w:r>
        <w:t xml:space="preserve">Separate analysis</w:t>
      </w:r>
      <w:r>
        <w:t xml:space="preserve"> </w:t>
      </w:r>
      <w:r>
        <w:t xml:space="preserve">- Formal authority: Chairman (High).</w:t>
      </w:r>
      <w:r>
        <w:t xml:space="preserve"> </w:t>
      </w:r>
      <w:r>
        <w:t xml:space="preserve">- Substantive influence: High (agenda‑setting, staff directives, repeated speech).</w:t>
      </w:r>
      <w:r>
        <w:t xml:space="preserve"> </w:t>
      </w:r>
      <w:r>
        <w:t xml:space="preserve">- Policy impact likelihood: High (Chair’s leadership and staff action alignment).</w:t>
      </w:r>
    </w:p>
    <w:p>
      <w:pPr>
        <w:pStyle w:val="BodyText"/>
      </w:pPr>
      <w:r>
        <w:t xml:space="preserve">Other high‑influence actors (evidence)</w:t>
      </w:r>
      <w:r>
        <w:t xml:space="preserve"> </w:t>
      </w:r>
      <w:r>
        <w:t xml:space="preserve">- Acting Chair Mark Uyeda: Formal authority in related meetings and explicit policy suggestions (time‑limited conditional relief). (FACT)</w:t>
      </w:r>
      <w:r>
        <w:t xml:space="preserve"> </w:t>
      </w:r>
      <w:r>
        <w:t xml:space="preserve">- Nicholas Losurdo: Agenda setting &amp; elicitation of implementable steps in trading roundtable; high operational influence on staff ideas. (FACT)</w:t>
      </w:r>
      <w:r>
        <w:t xml:space="preserve"> </w:t>
      </w:r>
      <w:r>
        <w:t xml:space="preserve">- DTCC (Christian Sabella), custody infrastructure leaders (Jason Allegrante, Rachel Anderica): substantive operational influence — their practical experiments and operational proposals were repeatedly referenced as templates for pilots/guidance. (FACT)</w:t>
      </w:r>
    </w:p>
    <w:p>
      <w:pPr>
        <w:pStyle w:val="BodyText"/>
      </w:pPr>
      <w:r>
        <w:t xml:space="preserve">Signals used to determine influence</w:t>
      </w:r>
      <w:r>
        <w:t xml:space="preserve"> </w:t>
      </w:r>
      <w:r>
        <w:t xml:space="preserve">- Repetition across meetings (frequency of their input).</w:t>
      </w:r>
      <w:r>
        <w:t xml:space="preserve"> </w:t>
      </w:r>
      <w:r>
        <w:t xml:space="preserve">- Alignment with staff/Commission actions (e.g., rescission of SAB 121 / SAB 122 RAG confirmation).</w:t>
      </w:r>
      <w:r>
        <w:t xml:space="preserve"> </w:t>
      </w:r>
      <w:r>
        <w:t xml:space="preserve">- Explicit staff directives (Chairman’s instruction).</w:t>
      </w:r>
      <w:r>
        <w:t xml:space="preserve"> </w:t>
      </w:r>
      <w:r>
        <w:t xml:space="preserve">- Agenda‑setting role (moderators and counsel).</w:t>
      </w:r>
    </w:p>
    <w:p>
      <w:r>
        <w:pict>
          <v:rect style="width:0;height:1.5pt" o:hralign="center" o:hrstd="t" o:hr="t"/>
        </w:pict>
      </w:r>
    </w:p>
    <w:bookmarkEnd w:id="25"/>
    <w:bookmarkStart w:id="26" w:name="X7fbfcf33d6d31216245e8cfef3b7686533e060f"/>
    <w:p>
      <w:pPr>
        <w:pStyle w:val="Heading2"/>
      </w:pPr>
      <w:r>
        <w:t xml:space="preserve">7.</w:t>
      </w:r>
      <w:r>
        <w:t xml:space="preserve"> </w:t>
      </w:r>
      <w:r>
        <w:t xml:space="preserve">“</w:t>
      </w:r>
      <w:r>
        <w:t xml:space="preserve">WHAT THIS MEANS FOR…</w:t>
      </w:r>
      <w:r>
        <w:t xml:space="preserve">”</w:t>
      </w:r>
      <w:r>
        <w:t xml:space="preserve"> </w:t>
      </w:r>
      <w:r>
        <w:t xml:space="preserve">(Stakeholder implications &amp; recommended immediate actions)</w:t>
      </w:r>
    </w:p>
    <w:p>
      <w:pPr>
        <w:pStyle w:val="FirstParagraph"/>
      </w:pPr>
      <w:r>
        <w:t xml:space="preserve">FACTS + ANALYSIS — actionable items per stakeholder group. Items labeled (EVIDENCE) when supported directly by meeting reports; labeled (INFERENCE) when derived from cross‑meeting patterns.</w:t>
      </w:r>
    </w:p>
    <w:p>
      <w:pPr>
        <w:pStyle w:val="BodyText"/>
      </w:pPr>
      <w:r>
        <w:t xml:space="preserve">Issuers</w:t>
      </w:r>
      <w:r>
        <w:t xml:space="preserve"> </w:t>
      </w:r>
      <w:r>
        <w:t xml:space="preserve">- Prepare to treat tokenized instruments as securities when they economically mirror existing securities; plan disclosure packages equivalent to traditional filings. (EVIDENCE: Tokenization, Howey meetings)</w:t>
      </w:r>
      <w:r>
        <w:t xml:space="preserve"> </w:t>
      </w:r>
      <w:r>
        <w:t xml:space="preserve">- Document token governance, rights, and upgrade pathways; include explicit legal terms tying on‑chain tokens to off‑chain legal entitlements. (EVIDENCE: Tokenization)</w:t>
      </w:r>
      <w:r>
        <w:t xml:space="preserve"> </w:t>
      </w:r>
      <w:r>
        <w:t xml:space="preserve">- Participate in pilots / propose sandbox designs with operational metrics (resiliency, settlement, audit trails) to influence staff frameworks. (EVIDENCE: Tokenization &amp; DeFi)</w:t>
      </w:r>
      <w:r>
        <w:t xml:space="preserve"> </w:t>
      </w:r>
      <w:r>
        <w:t xml:space="preserve">- Action items:</w:t>
      </w:r>
      <w:r>
        <w:t xml:space="preserve"> </w:t>
      </w:r>
      <w:r>
        <w:t xml:space="preserve">- Inventory token designs and map Howey risk factors to features.</w:t>
      </w:r>
      <w:r>
        <w:t xml:space="preserve"> </w:t>
      </w:r>
      <w:r>
        <w:t xml:space="preserve">- Draft disclosure templates that translate smart contract functions into material risk disclosures.</w:t>
      </w:r>
    </w:p>
    <w:p>
      <w:pPr>
        <w:pStyle w:val="BodyText"/>
      </w:pPr>
      <w:r>
        <w:t xml:space="preserve">DeFi Protocols</w:t>
      </w:r>
      <w:r>
        <w:t xml:space="preserve"> </w:t>
      </w:r>
      <w:r>
        <w:t xml:space="preserve">- Expect activity‑based scrutiny: self‑custodial code publication alone is less likely to be regulated, but admin keys, fee‑setting, or developer control invite regulatory exposure. (EVIDENCE: DeFi meeting, EtherDelta discussion)</w:t>
      </w:r>
      <w:r>
        <w:t xml:space="preserve"> </w:t>
      </w:r>
      <w:r>
        <w:t xml:space="preserve">- Adopt governance transparency (admin keys, upgrade processes) and publish clear role descriptions for developers/operators. (EVIDENCE)</w:t>
      </w:r>
      <w:r>
        <w:t xml:space="preserve"> </w:t>
      </w:r>
      <w:r>
        <w:t xml:space="preserve">- Invest in privacy‑preserving on‑chain attestation techniques (ZK proofs) and scenario playbooks for AML/OFAC interactions. (ANALYSIS)</w:t>
      </w:r>
      <w:r>
        <w:t xml:space="preserve"> </w:t>
      </w:r>
      <w:r>
        <w:t xml:space="preserve">- Action items:</w:t>
      </w:r>
      <w:r>
        <w:t xml:space="preserve"> </w:t>
      </w:r>
      <w:r>
        <w:t xml:space="preserve">- Publish a public</w:t>
      </w:r>
      <w:r>
        <w:t xml:space="preserve"> </w:t>
      </w:r>
      <w:r>
        <w:t xml:space="preserve">“</w:t>
      </w:r>
      <w:r>
        <w:t xml:space="preserve">roles &amp; responsibilities</w:t>
      </w:r>
      <w:r>
        <w:t xml:space="preserve">”</w:t>
      </w:r>
      <w:r>
        <w:t xml:space="preserve"> </w:t>
      </w:r>
      <w:r>
        <w:t xml:space="preserve">governance charter.</w:t>
      </w:r>
      <w:r>
        <w:t xml:space="preserve"> </w:t>
      </w:r>
      <w:r>
        <w:t xml:space="preserve">- Implement and document technical mitigants (timelocks, multisig, emergency governance).</w:t>
      </w:r>
    </w:p>
    <w:p>
      <w:pPr>
        <w:pStyle w:val="BodyText"/>
      </w:pPr>
      <w:r>
        <w:t xml:space="preserve">Exchanges / ATSs</w:t>
      </w:r>
      <w:r>
        <w:t xml:space="preserve"> </w:t>
      </w:r>
      <w:r>
        <w:t xml:space="preserve">- Expect pressure to adapt regulatorily (ATS/SPBD models) for tokenized securities and for additional surveillance/data reporting; plan technical and compliance roadmaps. (EVIDENCE: Trading and Tokenization meetings)</w:t>
      </w:r>
      <w:r>
        <w:t xml:space="preserve"> </w:t>
      </w:r>
      <w:r>
        <w:t xml:space="preserve">- Prepare for potential special‑purpose broker‑dealer or ATS adaptations; engage with staff on pilot criteria. (EVIDENCE)</w:t>
      </w:r>
      <w:r>
        <w:t xml:space="preserve"> </w:t>
      </w:r>
      <w:r>
        <w:t xml:space="preserve">- Action items:</w:t>
      </w:r>
      <w:r>
        <w:t xml:space="preserve"> </w:t>
      </w:r>
      <w:r>
        <w:t xml:space="preserve">- Map existing matching/settlement engines to tokenized on‑chain models; prepare evidence on surveillance capability (on‑ and off‑chain).</w:t>
      </w:r>
      <w:r>
        <w:t xml:space="preserve"> </w:t>
      </w:r>
      <w:r>
        <w:t xml:space="preserve">- Build or partner for consolidated tape / data feeds for auditable price discovery.</w:t>
      </w:r>
    </w:p>
    <w:p>
      <w:pPr>
        <w:pStyle w:val="BodyText"/>
      </w:pPr>
      <w:r>
        <w:t xml:space="preserve">Custodians / Compliance Teams</w:t>
      </w:r>
      <w:r>
        <w:t xml:space="preserve"> </w:t>
      </w:r>
      <w:r>
        <w:t xml:space="preserve">- The SEC is likely to demand auditable evidence of control (audited key‑ceremonies, SOC/crypto audits, contracts) and principles‑based controls; prepare documentation and third‑party attestations. (EVIDENCE: Custody roundtable)</w:t>
      </w:r>
      <w:r>
        <w:t xml:space="preserve"> </w:t>
      </w:r>
      <w:r>
        <w:t xml:space="preserve">- Plan for exam‑readiness: segregation practices, proof‑of‑reserves approaches, dispute resolution and insolvency playbooks. (EVIDENCE)</w:t>
      </w:r>
      <w:r>
        <w:t xml:space="preserve"> </w:t>
      </w:r>
      <w:r>
        <w:t xml:space="preserve">- Action items:</w:t>
      </w:r>
      <w:r>
        <w:t xml:space="preserve"> </w:t>
      </w:r>
      <w:r>
        <w:t xml:space="preserve">- Harden operational controls and prepare standardized evidence packages (contracts, SOC reports, key‑ceremony logs).</w:t>
      </w:r>
      <w:r>
        <w:t xml:space="preserve"> </w:t>
      </w:r>
      <w:r>
        <w:t xml:space="preserve">- Engage with legal teams on SIPA/UCC implications and interagency coordination.</w:t>
      </w:r>
    </w:p>
    <w:p>
      <w:pPr>
        <w:pStyle w:val="BodyText"/>
      </w:pPr>
      <w:r>
        <w:t xml:space="preserve">General compliance actions (all groups)</w:t>
      </w:r>
      <w:r>
        <w:t xml:space="preserve"> </w:t>
      </w:r>
      <w:r>
        <w:t xml:space="preserve">- Submit detailed, evidence‑based comments to the Crypto Task Force highlighting pilot proposals and operational metrics. (EVIDENCE)</w:t>
      </w:r>
      <w:r>
        <w:t xml:space="preserve"> </w:t>
      </w:r>
      <w:r>
        <w:t xml:space="preserve">- Prioritize demonstrable investor protections (clear disclosures, custody safeguards, emergency governance) in product design. (ANALYSIS)</w:t>
      </w:r>
    </w:p>
    <w:p>
      <w:r>
        <w:pict>
          <v:rect style="width:0;height:1.5pt" o:hralign="center" o:hrstd="t" o:hr="t"/>
        </w:pict>
      </w:r>
    </w:p>
    <w:bookmarkEnd w:id="26"/>
    <w:bookmarkStart w:id="27" w:name="X6711e2b97e3f1fdaac417d09f63d76eef8290e2"/>
    <w:p>
      <w:pPr>
        <w:pStyle w:val="Heading2"/>
      </w:pPr>
      <w:r>
        <w:t xml:space="preserve">8. UNRESOLVED QUESTIONS &amp; REGULATORY GAPS (MANDATORY)</w:t>
      </w:r>
    </w:p>
    <w:p>
      <w:pPr>
        <w:pStyle w:val="FirstParagraph"/>
      </w:pPr>
      <w:r>
        <w:t xml:space="preserve">FACTS / ANALYSIS — Each gap lists why it matters, meeting(s) where raised, who raised it, and potential resolution paths. Where inference is used the entry is explicitly labeled INFERENCE.</w:t>
      </w:r>
    </w:p>
    <w:p>
      <w:pPr>
        <w:pStyle w:val="BodyText"/>
      </w:pPr>
      <w:r>
        <w:t xml:space="preserve">A. Doctrinal / Legal Uncertainty</w:t>
      </w:r>
      <w:r>
        <w:t xml:space="preserve"> </w:t>
      </w:r>
      <w:r>
        <w:t xml:space="preserve">| Gap | Why it matters | Meetings raised | Who raised | Potential paths to resolution | Grounding |</w:t>
      </w:r>
      <w:r>
        <w:t xml:space="preserve"> </w:t>
      </w:r>
      <w:r>
        <w:t xml:space="preserve">|—|—|—|—|—|—|</w:t>
      </w:r>
      <w:r>
        <w:t xml:space="preserve"> </w:t>
      </w:r>
      <w:r>
        <w:t xml:space="preserve">| Applicability of Howey to new token forms (governance tokens, DeFi primitives) | Determines securities law coverage; affects registration, disclosure, enforcement risk | Howey (3/21), Tokenization (5/12), DeFi (6/9) | Academics (Brummer, Reiners), industry (Miles), Commissioners | Staff interpretive guidance, tailored bright‑line safe harbors, court litigation, or Congress codifying tests | FACT |</w:t>
      </w:r>
      <w:r>
        <w:t xml:space="preserve"> </w:t>
      </w:r>
      <w:r>
        <w:t xml:space="preserve">| When secondary trading or protocol evolution changes legal status (exit criteria) | Impacts exchanges, broker‑dealers, and secondary market obligations | Howey, Trading, Tokenization | Practitioners (Collins, Chelsea), academics | Staff guidance on exit tests, safe harbor transition rules, targeted rulemaking | FACT |</w:t>
      </w:r>
      <w:r>
        <w:t xml:space="preserve"> </w:t>
      </w:r>
      <w:r>
        <w:t xml:space="preserve">| Treatment of code publication vs operative conduct (speech vs conduct boundary) | Implicates First Amendment and enforcement reach | DeFi | Commissioner Pur, panelists (Peter) | Legal clarifications via rulemaking, enforcement test articulation, potential targeted litigation to define boundaries | FACT |</w:t>
      </w:r>
    </w:p>
    <w:p>
      <w:pPr>
        <w:pStyle w:val="BodyText"/>
      </w:pPr>
      <w:r>
        <w:t xml:space="preserve">B. Operational / Compliance Ambiguity</w:t>
      </w:r>
      <w:r>
        <w:t xml:space="preserve"> </w:t>
      </w:r>
      <w:r>
        <w:t xml:space="preserve">| Gap | Why it matters | Meetings raised | Who raised | Potential paths | Grounding |</w:t>
      </w:r>
      <w:r>
        <w:t xml:space="preserve"> </w:t>
      </w:r>
      <w:r>
        <w:t xml:space="preserve">|—|—|—|—|—|—|</w:t>
      </w:r>
      <w:r>
        <w:t xml:space="preserve"> </w:t>
      </w:r>
      <w:r>
        <w:t xml:space="preserve">| Objective standards for</w:t>
      </w:r>
      <w:r>
        <w:t xml:space="preserve"> </w:t>
      </w:r>
      <w:r>
        <w:t xml:space="preserve">“</w:t>
      </w:r>
      <w:r>
        <w:t xml:space="preserve">qualified custodian</w:t>
      </w:r>
      <w:r>
        <w:t xml:space="preserve">”</w:t>
      </w:r>
      <w:r>
        <w:t xml:space="preserve"> </w:t>
      </w:r>
      <w:r>
        <w:t xml:space="preserve">and acceptable proof of exclusive control | Determines who can custody customer assets and how advisers comply | Custody (4/25), Tokenization (5/12), Trading (4/11) | Custodians (Fireblocks, Anchorage), Chair, Chuck Mooney | Staff guidance, acceptable attestation frameworks (SOC, cryptographic proofs), notice &amp; comment rulemaking to update custody rule | FACT |</w:t>
      </w:r>
      <w:r>
        <w:t xml:space="preserve"> </w:t>
      </w:r>
      <w:r>
        <w:t xml:space="preserve">| How to reconcile staking / productive on‑chain uses with custody rules | Adviser fiduciary duties vs on‑chain movement conflicts | Custody, Tokenization, DeFi | Fund managers, legal counsel (Justin Browder, Larry Florio) | Staff safe harbors for staking; custody guidance defining permitted practices; rule adjustments to custody rule | FACT |</w:t>
      </w:r>
      <w:r>
        <w:t xml:space="preserve"> </w:t>
      </w:r>
      <w:r>
        <w:t xml:space="preserve">| Proof‑of‑reserves and Merkle tree attestations — sufficiency and auditability | Affects transparency claims and market trust | Custody | Industry custodians (Kraken, BitGo) | Staff supervisory expectations + audit standards + sample reporting templates | FACT |</w:t>
      </w:r>
    </w:p>
    <w:p>
      <w:pPr>
        <w:pStyle w:val="BodyText"/>
      </w:pPr>
      <w:r>
        <w:t xml:space="preserve">C. Market Structure &amp; Infrastructure Gaps</w:t>
      </w:r>
      <w:r>
        <w:t xml:space="preserve"> </w:t>
      </w:r>
      <w:r>
        <w:t xml:space="preserve">| Gap | Why it matters | Meetings raised | Who raised | Potential paths | Grounding |</w:t>
      </w:r>
      <w:r>
        <w:t xml:space="preserve"> </w:t>
      </w:r>
      <w:r>
        <w:t xml:space="preserve">|—|—|—|—|—|—|</w:t>
      </w:r>
      <w:r>
        <w:t xml:space="preserve"> </w:t>
      </w:r>
      <w:r>
        <w:t xml:space="preserve">| How NMS/OPR/Reg ATS concepts translate to tokenized, atomic settlement markets | Affects best execution, fair access, competition, and surveillance | Trading, Tokenization | Market structure experts (Tyler, Greg), DTCC | Functional rule adaptation (retain transparency &amp; surveillance); ATS/SPBD model adaptation; pilot programs with reporting obligations | FACT |</w:t>
      </w:r>
      <w:r>
        <w:t xml:space="preserve"> </w:t>
      </w:r>
      <w:r>
        <w:t xml:space="preserve">| Lack of consolidated tape / integrated on‑chain/off‑chain surveillance capability | Hampers regulator monitoring and market integrity | Trading, Tokenization, Custody | Tyler Gellasch, DTCC, SEC staff | Build on‑chain/off‑chain analytic capabilities; create a consolidated tape analogue; data reporting mandates | FACT |</w:t>
      </w:r>
      <w:r>
        <w:t xml:space="preserve"> </w:t>
      </w:r>
      <w:r>
        <w:t xml:space="preserve">| Cross‑chain interoperability &amp; legal perfection of security interests | Affects collateral reuse, cross‑border recognition | Tokenization, DeFi | DTCC, tokenization practitioners | Industry standards + UCC Article updates or Article 12 adoption; interagency legal harmonization | FACT |</w:t>
      </w:r>
    </w:p>
    <w:p>
      <w:pPr>
        <w:pStyle w:val="BodyText"/>
      </w:pPr>
      <w:r>
        <w:t xml:space="preserve">D. Inter‑agency / Legislative Gaps</w:t>
      </w:r>
      <w:r>
        <w:t xml:space="preserve"> </w:t>
      </w:r>
      <w:r>
        <w:t xml:space="preserve">| Gap | Why it matters | Meetings raised | Who raised | Potential paths | Grounding |</w:t>
      </w:r>
      <w:r>
        <w:t xml:space="preserve"> </w:t>
      </w:r>
      <w:r>
        <w:t xml:space="preserve">|—|—|—|—|—|—|</w:t>
      </w:r>
      <w:r>
        <w:t xml:space="preserve"> </w:t>
      </w:r>
      <w:r>
        <w:t xml:space="preserve">| SIPA coverage ambiguity for non‑security crypto assets / resolution regime | Customer protection in failures is unclear; impacts bankruptcy outcomes | Custody, Tokenization | Chair, Chuck Mooney, industry | Legislative action (SIPA expansion) or interagency protocol coordinated by Treasury/SEC/FDIC | FACT |</w:t>
      </w:r>
      <w:r>
        <w:t xml:space="preserve"> </w:t>
      </w:r>
      <w:r>
        <w:t xml:space="preserve">| Overlap SEC vs CFTC jurisdiction for tokens with commodity characteristics | Regulatory uncertainty, enforcement conflict | Trading, Howey, DeFi | Practitioners, commissioners | MoUs, joint guidance, or Congressional statute clarifying jurisdiction | FACT |</w:t>
      </w:r>
      <w:r>
        <w:t xml:space="preserve"> </w:t>
      </w:r>
      <w:r>
        <w:t xml:space="preserve">| International reciprocity / global regulatory fragmentation | Onshoring of activity depends on harmonized rules | Trading, Tokenization | Industry (Austin Reid) | Bilateral/regulatory coordination and international standards; active engagement in IOSCO / FSB | FACT |</w:t>
      </w:r>
    </w:p>
    <w:p>
      <w:pPr>
        <w:pStyle w:val="BodyText"/>
      </w:pPr>
      <w:r>
        <w:t xml:space="preserve">Quotes (FACTS — blockquoted)</w:t>
      </w:r>
      <w:r>
        <w:t xml:space="preserve"> </w:t>
      </w:r>
      <w:r>
        <w:t xml:space="preserve">&gt;</w:t>
      </w:r>
      <w:r>
        <w:t xml:space="preserve"> </w:t>
      </w:r>
      <w:r>
        <w:t xml:space="preserve">“</w:t>
      </w:r>
      <w:r>
        <w:t xml:space="preserve">A key priority of my chairmanship will be to develop a rational regulatory framework for crypto asset markets that establishes clear rules of the road for issuance, custody and trading.</w:t>
      </w:r>
      <w:r>
        <w:t xml:space="preserve">”</w:t>
      </w:r>
      <w:r>
        <w:t xml:space="preserve"> </w:t>
      </w:r>
      <w:r>
        <w:t xml:space="preserve">— Chairman Atkins (Tokenization meeting)</w:t>
      </w:r>
      <w:r>
        <w:br/>
      </w:r>
      <w:r>
        <w:t xml:space="preserve">&gt;</w:t>
      </w:r>
      <w:r>
        <w:t xml:space="preserve"> </w:t>
      </w:r>
      <w:r>
        <w:t xml:space="preserve">“</w:t>
      </w:r>
      <w:r>
        <w:t xml:space="preserve">Existing SEC custody rules are a gold standard of investor protection.</w:t>
      </w:r>
      <w:r>
        <w:t xml:space="preserve">”</w:t>
      </w:r>
      <w:r>
        <w:t xml:space="preserve"> </w:t>
      </w:r>
      <w:r>
        <w:t xml:space="preserve">— Chairman Atkins (Custody meeting)</w:t>
      </w:r>
      <w:r>
        <w:br/>
      </w:r>
      <w:r>
        <w:t xml:space="preserve">&gt;</w:t>
      </w:r>
      <w:r>
        <w:t xml:space="preserve"> </w:t>
      </w:r>
      <w:r>
        <w:t xml:space="preserve">“</w:t>
      </w:r>
      <w:r>
        <w:t xml:space="preserve">When I think about the Howey test … each of those prongs represents a kind of a risk …</w:t>
      </w:r>
      <w:r>
        <w:t xml:space="preserve">”</w:t>
      </w:r>
      <w:r>
        <w:t xml:space="preserve"> </w:t>
      </w:r>
      <w:r>
        <w:t xml:space="preserve">— Chris Brummer (Howey meeting)</w:t>
      </w:r>
      <w:r>
        <w:br/>
      </w:r>
      <w:r>
        <w:t xml:space="preserve">&gt;</w:t>
      </w:r>
      <w:r>
        <w:t xml:space="preserve"> </w:t>
      </w:r>
      <w:r>
        <w:t xml:space="preserve">“</w:t>
      </w:r>
      <w:r>
        <w:t xml:space="preserve">I’ve directed the staff to consider a conditional exemptive relief framework or… an innovation exemption</w:t>
      </w:r>
      <w:r>
        <w:t xml:space="preserve">”</w:t>
      </w:r>
      <w:r>
        <w:t xml:space="preserve"> </w:t>
      </w:r>
      <w:r>
        <w:t xml:space="preserve">— Chairman Atkins (DeFi meeting)</w:t>
      </w:r>
    </w:p>
    <w:p>
      <w:r>
        <w:pict>
          <v:rect style="width:0;height:1.5pt" o:hralign="center" o:hrstd="t" o:hr="t"/>
        </w:pict>
      </w:r>
    </w:p>
    <w:bookmarkEnd w:id="27"/>
    <w:bookmarkStart w:id="28" w:name="future-predictions-with-clear-labeling"/>
    <w:p>
      <w:pPr>
        <w:pStyle w:val="Heading2"/>
      </w:pPr>
      <w:r>
        <w:t xml:space="preserve">9. FUTURE PREDICTIONS (WITH CLEAR LABELING)</w:t>
      </w:r>
    </w:p>
    <w:p>
      <w:pPr>
        <w:pStyle w:val="FirstParagraph"/>
      </w:pPr>
      <w:r>
        <w:t xml:space="preserve">Section structure: A. Decisions on hold/planned; B. SEC‑Crypto predictions; C. Future steps based on influencers; D. What could change predictions.</w:t>
      </w:r>
    </w:p>
    <w:p>
      <w:pPr>
        <w:pStyle w:val="BodyText"/>
      </w:pPr>
      <w:r>
        <w:t xml:space="preserve">A. Decisions on Hold or Planned (list)</w:t>
      </w:r>
      <w:r>
        <w:t xml:space="preserve"> </w:t>
      </w:r>
      <w:r>
        <w:t xml:space="preserve">- [EXPLICITLY STATED] Staff to consider conditional exemptive relief /</w:t>
      </w:r>
      <w:r>
        <w:t xml:space="preserve"> </w:t>
      </w:r>
      <w:r>
        <w:t xml:space="preserve">“</w:t>
      </w:r>
      <w:r>
        <w:t xml:space="preserve">innovation exemption</w:t>
      </w:r>
      <w:r>
        <w:t xml:space="preserve">”</w:t>
      </w:r>
      <w:r>
        <w:t xml:space="preserve"> </w:t>
      </w:r>
      <w:r>
        <w:t xml:space="preserve">for on‑chain products. Confidence: High. Meetings: Tokenization (may_12_2025.txt), DeFi (june_9_2025.txt). Evidence: Chair Atkins explicit staff directive. (FACT)</w:t>
      </w:r>
      <w:r>
        <w:t xml:space="preserve"> </w:t>
      </w:r>
      <w:r>
        <w:t xml:space="preserve">- [EXPLICITLY STATED] Rescission of SAB 121 referenced as completed step; Staff Accounting Bulletin No. 122 rescinds SAB 121. Confidence: High. Meetings: Tokenization. Evidence: RAG search (SAB 122) and meeting record. (FACT + RAG)</w:t>
      </w:r>
      <w:r>
        <w:t xml:space="preserve"> </w:t>
      </w:r>
      <w:r>
        <w:t xml:space="preserve">- [STRONGLY INFERRED] SEC staff will publish targeted custody supervisory expectations (acceptable evidence of control: audits, SOC reports, key‑ceremony attestations). Confidence: High. Basis: Custody roundtable consensus and industry asks; staff repeatedly asked for evidence. (ANALYSIS)</w:t>
      </w:r>
      <w:r>
        <w:t xml:space="preserve"> </w:t>
      </w:r>
      <w:r>
        <w:t xml:space="preserve">- [STRONGLY INFERRED] SEC staff will solicit pilot proposals &amp; may run time‑limited experiments with exchanges/issuers using conditional exemptive relief. Confidence: High. Basis: Chair’s directive + repeated panel calls for pilots. (ANALYSIS)</w:t>
      </w:r>
      <w:r>
        <w:t xml:space="preserve"> </w:t>
      </w:r>
      <w:r>
        <w:t xml:space="preserve">- [SPECULATIVE] SEC will propose rulemaking to codify a technology‑neutral</w:t>
      </w:r>
      <w:r>
        <w:t xml:space="preserve"> </w:t>
      </w:r>
      <w:r>
        <w:t xml:space="preserve">“</w:t>
      </w:r>
      <w:r>
        <w:t xml:space="preserve">qualified custodian</w:t>
      </w:r>
      <w:r>
        <w:t xml:space="preserve">”</w:t>
      </w:r>
      <w:r>
        <w:t xml:space="preserve"> </w:t>
      </w:r>
      <w:r>
        <w:t xml:space="preserve">definition that expands formal QC recognition to state trust charters under specified conditions. Confidence: Medium. Basis: custody meeting advocacy and Chair’s willingness to explore rule changes; legislative or interagency constraints could alter path. (INFERENCE)</w:t>
      </w:r>
    </w:p>
    <w:p>
      <w:pPr>
        <w:pStyle w:val="BodyText"/>
      </w:pPr>
      <w:r>
        <w:t xml:space="preserve">B. SEC‑Crypto Future Predictions (label &amp; probability ranges)</w:t>
      </w:r>
      <w:r>
        <w:t xml:space="preserve"> </w:t>
      </w:r>
      <w:r>
        <w:t xml:space="preserve">- [STRONGLY INFERRED] Probability ~70–85%: Near‑term staff guidance on custody evidence and supervisory priorities will be released within 6–12 months. Confidence: High. Basis: repeated custody meeting emphasis and industry readiness. (ANALYSIS)</w:t>
      </w:r>
      <w:r>
        <w:t xml:space="preserve"> </w:t>
      </w:r>
      <w:r>
        <w:t xml:space="preserve">- [STRONGLY INFERRED] Probability ~60–80%: The SEC will authorize at least one time‑limited, conditional exemptive pilot (on‑chain tokenized security or transfer agent pilot). Confidence: Medium‑High. Basis: Chair’s directive + industry requests. (ANALYSIS)</w:t>
      </w:r>
      <w:r>
        <w:t xml:space="preserve"> </w:t>
      </w:r>
      <w:r>
        <w:t xml:space="preserve">- [STRONGLY INFERRED] Probability ~50–70%: Regulators will publish a consolidated data reporting request / pilot to improve on‑chain/off‑chain surveillance; could begin as staff data‑sharing exercises. Confidence: Medium. Basis: Trading &amp; Tokenization calls for surveillance. (ANALYSIS)</w:t>
      </w:r>
      <w:r>
        <w:t xml:space="preserve"> </w:t>
      </w:r>
      <w:r>
        <w:t xml:space="preserve">- [SPECULATIVE] Probability ~20–40%: The SEC will issue a new doctrinal test supplanting Howey (e.g., a statutory reinterpretation or bright‑line control threshold). Confidence: Low. Basis: doctrinal debates strong but statutory change or definitive courts required. (INFERENCE)</w:t>
      </w:r>
      <w:r>
        <w:t xml:space="preserve"> </w:t>
      </w:r>
      <w:r>
        <w:t xml:space="preserve">- [SPECULATIVE] Probability ~10–30%: Congress enacts SIPA‑style insolvency protections extended to certain token classes in the next 1–3 years. Confidence: Low. Basis: legislative inertia and interagency tradeoffs. (INFERENCE)</w:t>
      </w:r>
    </w:p>
    <w:p>
      <w:pPr>
        <w:pStyle w:val="BodyText"/>
      </w:pPr>
      <w:r>
        <w:t xml:space="preserve">C. Future Steps / Decisions Based on Influencers (label + evidence)</w:t>
      </w:r>
      <w:r>
        <w:t xml:space="preserve"> </w:t>
      </w:r>
      <w:r>
        <w:t xml:space="preserve">- [EXPLICITLY STATED] Chair Atkins → staff directive to explore innovation exemption/pilots (Tokenization &amp; DeFi). Likely outcome: staff RFI or pilot program design. Confidence: High. (FACT)</w:t>
      </w:r>
      <w:r>
        <w:t xml:space="preserve"> </w:t>
      </w:r>
      <w:r>
        <w:t xml:space="preserve">- [STRONGLY INFERRED] DTCC / post‑trade incumbents (Sabella) + large asset managers (BlackRock, Franklin Templeton) → accelerate operational pilots demonstrating settlement/netting models acceptable to regulators. Confidence: Medium‑High. Evidence: Tokenization meeting operational examples and DTCC experiments. (ANALYSIS)</w:t>
      </w:r>
      <w:r>
        <w:t xml:space="preserve"> </w:t>
      </w:r>
      <w:r>
        <w:t xml:space="preserve">- [STRONGLY INFERRED] Custody infrastructure leaders (Fireblocks, Anchorage) → will be asked to provide audit templates and exam‑readiness packages; those firms’ proposals will heavily influence supervisory expectations. Confidence: High. Evidence: Custody meeting focus on audits, key ceremonies. (ANALYSIS)</w:t>
      </w:r>
      <w:r>
        <w:t xml:space="preserve"> </w:t>
      </w:r>
      <w:r>
        <w:t xml:space="preserve">- [SPECULATIVE] Influential Commissioners favoring tech‑neutral sandboxes (Peirce, Uyeda incl.) → may push for less restrictive pilot parameters, which could increase industry participation. Confidence: Medium. (INFERENCE)</w:t>
      </w:r>
    </w:p>
    <w:p>
      <w:pPr>
        <w:pStyle w:val="BodyText"/>
      </w:pPr>
      <w:r>
        <w:t xml:space="preserve">D. What Could Change These Predictions</w:t>
      </w:r>
      <w:r>
        <w:t xml:space="preserve"> </w:t>
      </w:r>
      <w:r>
        <w:t xml:space="preserve">- Litigation outcomes altering Howey jurisprudence or a major appellate court reversal/clarification. (FACT/INFERENCE)</w:t>
      </w:r>
      <w:r>
        <w:t xml:space="preserve"> </w:t>
      </w:r>
      <w:r>
        <w:t xml:space="preserve">- Congressional action (statutory fixes around custody/SIPA, jurisdictional allocation) that supersedes staff actions. (FACT/INFERENCE)</w:t>
      </w:r>
      <w:r>
        <w:t xml:space="preserve"> </w:t>
      </w:r>
      <w:r>
        <w:t xml:space="preserve">- Inter‑agency conflict or cooperation outcomes (CFTC/Treasury/FinCEN positions) affecting regulatory assignment. (FACT)</w:t>
      </w:r>
      <w:r>
        <w:t xml:space="preserve"> </w:t>
      </w:r>
      <w:r>
        <w:t xml:space="preserve">- Geopolitical or market shocks (major protocol failure, new systemic stablecoin collapse) that force accelerated rulemaking. (INFERENCE)</w:t>
      </w:r>
    </w:p>
    <w:p>
      <w:r>
        <w:pict>
          <v:rect style="width:0;height:1.5pt" o:hralign="center" o:hrstd="t" o:hr="t"/>
        </w:pict>
      </w:r>
    </w:p>
    <w:bookmarkEnd w:id="28"/>
    <w:bookmarkStart w:id="29" w:name="sources"/>
    <w:p>
      <w:pPr>
        <w:pStyle w:val="Heading2"/>
      </w:pPr>
      <w:r>
        <w:t xml:space="preserve">10. SOURCES</w:t>
      </w:r>
    </w:p>
    <w:p>
      <w:pPr>
        <w:pStyle w:val="FirstParagraph"/>
      </w:pPr>
      <w:r>
        <w:t xml:space="preserve">Primary meeting reports analyzed (files)</w:t>
      </w:r>
      <w:r>
        <w:t xml:space="preserve"> </w:t>
      </w:r>
      <w:r>
        <w:t xml:space="preserve">- SEC_Meeting_Report_how-we-got-here-how-we-get-out-defining-security-s.txt (transcript: march_21_2025.txt)</w:t>
      </w:r>
      <w:r>
        <w:t xml:space="preserve"> </w:t>
      </w:r>
      <w:r>
        <w:t xml:space="preserve">- SEC_Meeting_Report_between-block-hard-place-tailoring-regulation-cryp.txt (transcript: april_11_2025.txt)</w:t>
      </w:r>
      <w:r>
        <w:t xml:space="preserve"> </w:t>
      </w:r>
      <w:r>
        <w:t xml:space="preserve">- SEC_Meeting_Report_know-your-custodian-key-considerations-crypto-cust.txt (transcript: april_28_2025.txt)</w:t>
      </w:r>
      <w:r>
        <w:t xml:space="preserve"> </w:t>
      </w:r>
      <w:r>
        <w:t xml:space="preserve">- SEC_Meeting_Report_tokenization-moving-assets-onchain-where-tradfi-de.txt (transcript: may_12_2025.txt)</w:t>
      </w:r>
      <w:r>
        <w:t xml:space="preserve"> </w:t>
      </w:r>
      <w:r>
        <w:t xml:space="preserve">- SEC_Meeting_Report_defi-american-spirit.txt (transcript: june_9_2025.txt)</w:t>
      </w:r>
    </w:p>
    <w:p>
      <w:pPr>
        <w:pStyle w:val="BodyText"/>
      </w:pPr>
      <w:r>
        <w:t xml:space="preserve">RAG / web sources cited</w:t>
      </w:r>
      <w:r>
        <w:t xml:space="preserve"> </w:t>
      </w:r>
      <w:r>
        <w:t xml:space="preserve">- SEC Staff Accounting Bulletin No. 122 — rescission of Staff Accounting Bulletin No. 121 (SAB 122): https://www.sec.gov/rules-regulations/staff-guidance/staff-accounting-bulletins/staff-accounting-bulletin-122 (RAG search result referenced during Tokenization meeting). (FACT)</w:t>
      </w:r>
    </w:p>
    <w:p>
      <w:pPr>
        <w:pStyle w:val="BodyText"/>
      </w:pPr>
      <w:r>
        <w:t xml:space="preserve">Additional context sources referenced in meeting reports (RAG)</w:t>
      </w:r>
      <w:r>
        <w:t xml:space="preserve"> </w:t>
      </w:r>
      <w:r>
        <w:t xml:space="preserve">- EtherDelta / Coburn enforcement order — cited in DeFi meeting and enforcement discussions (see SEC enforcement releases and staff speeches). (FACT)</w:t>
      </w:r>
      <w:r>
        <w:t xml:space="preserve"> </w:t>
      </w:r>
      <w:r>
        <w:t xml:space="preserve">- SEC speeches/statements by Commissioners (e.g., Peirce) referenced across meetings (RAG search results included in meeting reports). (FACT)</w:t>
      </w:r>
    </w:p>
    <w:p>
      <w:pPr>
        <w:pStyle w:val="BodyText"/>
      </w:pPr>
      <w:r>
        <w:t xml:space="preserve">Caveat on sourcing</w:t>
      </w:r>
      <w:r>
        <w:t xml:space="preserve"> </w:t>
      </w:r>
      <w:r>
        <w:t xml:space="preserve">- All direct meeting quotations and meeting‑specific facts are drawn from the supplied meeting report text / transcripts listed above. External RAG citations were used only to corroborate regulatory actions explicitly referenced in meetings (e.g., SAB 122 rescind). Items flagged INFERENCE are analyst forecasts based on cross‑meeting patterns and influence indicators.</w:t>
      </w:r>
    </w:p>
    <w:p>
      <w:r>
        <w:pict>
          <v:rect style="width:0;height:1.5pt" o:hralign="center" o:hrstd="t" o:hr="t"/>
        </w:pict>
      </w:r>
    </w:p>
    <w:p>
      <w:pPr>
        <w:pStyle w:val="FirstParagraph"/>
      </w:pPr>
      <w:r>
        <w:t xml:space="preserve">Appendix: Influence tier table (simple list for client dashboards)</w:t>
      </w:r>
      <w:r>
        <w:t xml:space="preserve"> </w:t>
      </w:r>
      <w:r>
        <w:t xml:space="preserve">| Tier | Names (representative) |</w:t>
      </w:r>
      <w:r>
        <w:t xml:space="preserve"> </w:t>
      </w:r>
      <w:r>
        <w:t xml:space="preserve">|—|—|</w:t>
      </w:r>
      <w:r>
        <w:t xml:space="preserve"> </w:t>
      </w:r>
      <w:r>
        <w:t xml:space="preserve">| High | Chairman Atkins; Acting Chair Mark Uyeda |</w:t>
      </w:r>
      <w:r>
        <w:t xml:space="preserve"> </w:t>
      </w:r>
      <w:r>
        <w:t xml:space="preserve">| Medium | Nicholas Losurdo; Christian Sabella (DTCC); Jason Allegrante; Rachel Anderica |</w:t>
      </w:r>
      <w:r>
        <w:t xml:space="preserve"> </w:t>
      </w:r>
      <w:r>
        <w:t xml:space="preserve">| Low | Chris Brummer; Miles (a16z counsel); John Reed Stark; Katherine Minarik; panel academics/practitioners |</w:t>
      </w:r>
    </w:p>
    <w:p>
      <w:r>
        <w:pict>
          <v:rect style="width:0;height:1.5pt" o:hralign="center" o:hrstd="t" o:hr="t"/>
        </w:pict>
      </w:r>
    </w:p>
    <w:p>
      <w:pPr>
        <w:pStyle w:val="FirstParagraph"/>
      </w:pPr>
      <w:r>
        <w:t xml:space="preserve">If you would like, next steps I can perform (pick one or more):</w:t>
      </w:r>
      <w:r>
        <w:t xml:space="preserve"> </w:t>
      </w:r>
      <w:r>
        <w:t xml:space="preserve">- Produce an executive one‑page slide (markdown‑to‑slide) summarizing the 5‑point action plan for in‑house counsel and product teams. (EVIDENCE)</w:t>
      </w:r>
      <w:r>
        <w:t xml:space="preserve"> </w:t>
      </w:r>
      <w:r>
        <w:t xml:space="preserve">- Generate a prioritized response checklist for Custody teams (document templates for audits, contracts, proof‑of‑control) mapped to likely supervisory expectations. (EVIDENCE)</w:t>
      </w:r>
      <w:r>
        <w:t xml:space="preserve"> </w:t>
      </w:r>
      <w:r>
        <w:t xml:space="preserve">- Extract a CSV of speaker turns and topic tags from transcripts (quantitative speaker engagement matrix). (ANALYSIS)</w:t>
      </w:r>
    </w:p>
    <w:p>
      <w:pPr>
        <w:pStyle w:val="BodyText"/>
      </w:pPr>
      <w:r>
        <w:t xml:space="preserve">If you want any item above expanded (e.g., complete speaker list with meeting‑by‑meeting quotes, or draft suggested language for a conditional exemptive relief pilot), tell me which and I will prepare it and include exact supporting citations from the transcripts.</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1">
    <w:nsid w:val="00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2">
    <w:nsid w:val="00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23">
    <w:nsid w:val="00A9942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24">
    <w:nsid w:val="00A9942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25">
    <w:nsid w:val="00A9942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26">
    <w:nsid w:val="00A9942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27">
    <w:nsid w:val="00A9942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28">
    <w:nsid w:val="00A9942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1"/>
  </w:num>
  <w:num w:numId="1010">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1"/>
  </w:num>
  <w:num w:numId="1013">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1"/>
  </w:num>
  <w:num w:numId="1015">
    <w:abstractNumId w:val="991"/>
  </w:num>
  <w:num w:numId="1016">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1"/>
  </w:num>
  <w:num w:numId="1018">
    <w:abstractNumId w:val="991"/>
  </w:num>
  <w:num w:numId="1019">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0">
    <w:abstractNumId w:val="991"/>
  </w:num>
  <w:num w:numId="1021">
    <w:abstractNumId w:val="991"/>
  </w:num>
  <w:num w:numId="1022">
    <w:abstractNumId w:val="9942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2025-12-22T17:49:46Z</dcterms:created>
  <dcterms:modified xsi:type="dcterms:W3CDTF">2025-12-22T17:49:46Z</dcterms:modified>
</cp:coreProperties>
</file>

<file path=docProps/custom.xml><?xml version="1.0" encoding="utf-8"?>
<Properties xmlns="http://schemas.openxmlformats.org/officeDocument/2006/custom-properties" xmlns:vt="http://schemas.openxmlformats.org/officeDocument/2006/docPropsVTypes"/>
</file>