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5ea1de0dd16de6826f5a309466518f5b4cd93b"/>
    <w:p>
      <w:pPr>
        <w:pStyle w:val="Heading1"/>
      </w:pPr>
      <w:r>
        <w:t xml:space="preserve">How the SEC Crypto Roundtables Overall Report is Generated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overall report combines insights from multiple SEC Round Table Meeting reports into a single comprehensive regulatory intelligence document. It’s designed for institutional clients, compliance teams, and policy analysts who need to understand trends, patterns, and future directions across all SEC crypto roundtables.</w:t>
      </w:r>
    </w:p>
    <w:bookmarkEnd w:id="20"/>
    <w:bookmarkStart w:id="23" w:name="how-its-generated"/>
    <w:p>
      <w:pPr>
        <w:pStyle w:val="Heading2"/>
      </w:pPr>
      <w:r>
        <w:t xml:space="preserve">How It’s Generated</w:t>
      </w:r>
    </w:p>
    <w:bookmarkStart w:id="21" w:name="the-process"/>
    <w:p>
      <w:pPr>
        <w:pStyle w:val="Heading3"/>
      </w:pPr>
      <w:r>
        <w:t xml:space="preserve">The Process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Discovery</w:t>
      </w:r>
      <w:r>
        <w:t xml:space="preserve">: The agent automatically finds all individual meeting report files (pattern:</w:t>
      </w:r>
      <w:r>
        <w:t xml:space="preserve"> </w:t>
      </w:r>
      <w:r>
        <w:rPr>
          <w:rStyle w:val="VerbatimChar"/>
        </w:rPr>
        <w:t xml:space="preserve">SEC_Meeting_Report_*.txt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Analysis</w:t>
      </w:r>
      <w:r>
        <w:t xml:space="preserve">: Using an AI agent with specialized tools:</w:t>
      </w:r>
    </w:p>
    <w:p>
      <w:pPr>
        <w:pStyle w:val="Compact"/>
        <w:numPr>
          <w:ilvl w:val="1"/>
          <w:numId w:val="1002"/>
        </w:numPr>
      </w:pPr>
      <w:r>
        <w:t xml:space="preserve">Reads all meeting reports</w:t>
      </w:r>
    </w:p>
    <w:p>
      <w:pPr>
        <w:pStyle w:val="Compact"/>
        <w:numPr>
          <w:ilvl w:val="1"/>
          <w:numId w:val="1002"/>
        </w:numPr>
      </w:pPr>
      <w:r>
        <w:t xml:space="preserve">Searches SEC knowledge base for regulatory context (RAG tool)</w:t>
      </w:r>
    </w:p>
    <w:p>
      <w:pPr>
        <w:pStyle w:val="Compact"/>
        <w:numPr>
          <w:ilvl w:val="1"/>
          <w:numId w:val="1002"/>
        </w:numPr>
      </w:pPr>
      <w:r>
        <w:t xml:space="preserve">Searches the web for additional trends and information</w:t>
      </w:r>
    </w:p>
    <w:p>
      <w:pPr>
        <w:pStyle w:val="Compact"/>
        <w:numPr>
          <w:ilvl w:val="1"/>
          <w:numId w:val="1002"/>
        </w:numPr>
      </w:pPr>
      <w:r>
        <w:t xml:space="preserve">Analyzes patterns across all meetings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Synthesis</w:t>
      </w:r>
      <w:r>
        <w:t xml:space="preserve">: The agent:</w:t>
      </w:r>
    </w:p>
    <w:p>
      <w:pPr>
        <w:pStyle w:val="Compact"/>
        <w:numPr>
          <w:ilvl w:val="1"/>
          <w:numId w:val="1003"/>
        </w:numPr>
      </w:pPr>
      <w:r>
        <w:t xml:space="preserve">Aggregates speaker views across multiple meetings</w:t>
      </w:r>
    </w:p>
    <w:p>
      <w:pPr>
        <w:pStyle w:val="Compact"/>
        <w:numPr>
          <w:ilvl w:val="1"/>
          <w:numId w:val="1003"/>
        </w:numPr>
      </w:pPr>
      <w:r>
        <w:t xml:space="preserve">Identifies recurring themes and isolated mentions</w:t>
      </w:r>
    </w:p>
    <w:p>
      <w:pPr>
        <w:pStyle w:val="Compact"/>
        <w:numPr>
          <w:ilvl w:val="1"/>
          <w:numId w:val="1003"/>
        </w:numPr>
      </w:pPr>
      <w:r>
        <w:t xml:space="preserve">Tracks influence and authority</w:t>
      </w:r>
    </w:p>
    <w:p>
      <w:pPr>
        <w:pStyle w:val="Compact"/>
        <w:numPr>
          <w:ilvl w:val="1"/>
          <w:numId w:val="1003"/>
        </w:numPr>
      </w:pPr>
      <w:r>
        <w:t xml:space="preserve">Predicts future regulatory directions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Generation</w:t>
      </w:r>
      <w:r>
        <w:t xml:space="preserve">: Creates a structured Markdown report with:</w:t>
      </w:r>
    </w:p>
    <w:p>
      <w:pPr>
        <w:pStyle w:val="Compact"/>
        <w:numPr>
          <w:ilvl w:val="1"/>
          <w:numId w:val="1004"/>
        </w:numPr>
      </w:pPr>
      <w:r>
        <w:t xml:space="preserve">Evidence-based analysis</w:t>
      </w:r>
    </w:p>
    <w:p>
      <w:pPr>
        <w:pStyle w:val="Compact"/>
        <w:numPr>
          <w:ilvl w:val="1"/>
          <w:numId w:val="1004"/>
        </w:numPr>
      </w:pPr>
      <w:r>
        <w:t xml:space="preserve">Clear labeling of facts vs. predictions</w:t>
      </w:r>
    </w:p>
    <w:p>
      <w:pPr>
        <w:pStyle w:val="Compact"/>
        <w:numPr>
          <w:ilvl w:val="1"/>
          <w:numId w:val="1004"/>
        </w:numPr>
      </w:pPr>
      <w:r>
        <w:t xml:space="preserve">Tables and matrices for easy scanning</w:t>
      </w:r>
    </w:p>
    <w:p>
      <w:pPr>
        <w:pStyle w:val="Compact"/>
        <w:numPr>
          <w:ilvl w:val="1"/>
          <w:numId w:val="1004"/>
        </w:numPr>
      </w:pPr>
      <w:r>
        <w:t xml:space="preserve">Professional formatting suitable for multiple uses</w:t>
      </w:r>
    </w:p>
    <w:bookmarkEnd w:id="21"/>
    <w:bookmarkStart w:id="22" w:name="the-agent-architecture"/>
    <w:p>
      <w:pPr>
        <w:pStyle w:val="Heading3"/>
      </w:pPr>
      <w:r>
        <w:t xml:space="preserve">The Agent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Planner Node</w:t>
      </w:r>
      <w:r>
        <w:t xml:space="preserve">: Creates a step-by-step analysis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 Node</w:t>
      </w:r>
      <w:r>
        <w:t xml:space="preserve">: Executes the plan using specialized 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 Available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Report reader (reads individual meeting reports)</w:t>
      </w:r>
    </w:p>
    <w:p>
      <w:pPr>
        <w:pStyle w:val="Compact"/>
        <w:numPr>
          <w:ilvl w:val="1"/>
          <w:numId w:val="1006"/>
        </w:numPr>
      </w:pPr>
      <w:r>
        <w:t xml:space="preserve">RAG search (SEC knowledge base)</w:t>
      </w:r>
    </w:p>
    <w:p>
      <w:pPr>
        <w:pStyle w:val="Compact"/>
        <w:numPr>
          <w:ilvl w:val="1"/>
          <w:numId w:val="1006"/>
        </w:numPr>
      </w:pPr>
      <w:r>
        <w:t xml:space="preserve">Web search (current trends and information)</w:t>
      </w:r>
    </w:p>
    <w:bookmarkEnd w:id="22"/>
    <w:bookmarkEnd w:id="23"/>
    <w:bookmarkStart w:id="34" w:name="report-sections-why-theyre-included"/>
    <w:p>
      <w:pPr>
        <w:pStyle w:val="Heading2"/>
      </w:pPr>
      <w:r>
        <w:t xml:space="preserve">Report Sections &amp; Why They’re Included</w:t>
      </w:r>
    </w:p>
    <w:bookmarkStart w:id="24" w:name="executive-intelligence-brief"/>
    <w:p>
      <w:pPr>
        <w:pStyle w:val="Heading3"/>
      </w:pPr>
      <w:r>
        <w:t xml:space="preserve">1. Executive Intelligence Brief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1-page summary with key takeaways, top regulatory trajectories, and most influential stakeholders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Executives need quick, actionable intelligence without reading the entire report. This section provides immediate insights.</w:t>
      </w:r>
    </w:p>
    <w:bookmarkEnd w:id="24"/>
    <w:bookmarkStart w:id="25" w:name="methodology-note"/>
    <w:p>
      <w:pPr>
        <w:pStyle w:val="Heading3"/>
      </w:pPr>
      <w:r>
        <w:t xml:space="preserve">2. Methodology Note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Explains how the analysis was conducted, data sources, and confidence scoring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Transparency builds credibility. Users need to understand the basis for conclusions.</w:t>
      </w:r>
    </w:p>
    <w:bookmarkEnd w:id="25"/>
    <w:bookmarkStart w:id="26" w:name="cross-meeting-evidence-summary"/>
    <w:p>
      <w:pPr>
        <w:pStyle w:val="Heading3"/>
      </w:pPr>
      <w:r>
        <w:t xml:space="preserve">3. Cross-Meeting Evidence Summary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Tables showing which topics appeared in which meetings, speaker-topic engagement matrix, recurring themes (≥3 meetings) vs. isolated mentions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Visual data helps identify patterns. Recurring themes are more likely to lead to action than one-off mentions.</w:t>
      </w:r>
    </w:p>
    <w:bookmarkEnd w:id="26"/>
    <w:bookmarkStart w:id="27" w:name="speaker-analysis"/>
    <w:p>
      <w:pPr>
        <w:pStyle w:val="Heading3"/>
      </w:pPr>
      <w:r>
        <w:t xml:space="preserve">4. Speaker Analysis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For each key speaker, separates: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Authority</w:t>
      </w:r>
      <w:r>
        <w:t xml:space="preserve"> </w:t>
      </w:r>
      <w:r>
        <w:t xml:space="preserve">(formal role)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Influence</w:t>
      </w:r>
      <w:r>
        <w:t xml:space="preserve"> </w:t>
      </w:r>
      <w:r>
        <w:t xml:space="preserve">(evidence-based: repetition, alignment, directives)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Impact Likelihood</w:t>
      </w:r>
      <w:r>
        <w:t xml:space="preserve"> </w:t>
      </w:r>
      <w:r>
        <w:t xml:space="preserve">(High/Medium/Low)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Understanding who matters and why helps predict which views will shape future regulations.</w:t>
      </w:r>
    </w:p>
    <w:bookmarkEnd w:id="27"/>
    <w:bookmarkStart w:id="28" w:name="topic-tagging"/>
    <w:p>
      <w:pPr>
        <w:pStyle w:val="Heading3"/>
      </w:pPr>
      <w:r>
        <w:t xml:space="preserve">5. Topic Tagging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Comprehensive topic list with speaker engagement matrix showing depth of involvement and stance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Identifies which speakers are experts on which topics, helping understand where expertise lies.</w:t>
      </w:r>
    </w:p>
    <w:bookmarkEnd w:id="28"/>
    <w:bookmarkStart w:id="29" w:name="most-influential-stakeholder"/>
    <w:p>
      <w:pPr>
        <w:pStyle w:val="Heading3"/>
      </w:pPr>
      <w:r>
        <w:t xml:space="preserve">6. Most Influential Stakeholder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Evidence-based identification of the person with strongest overall influence, with justification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The most influential person’s views are most likely to shape future SEC actions. This helps focus attention.</w:t>
      </w:r>
    </w:p>
    <w:bookmarkEnd w:id="29"/>
    <w:bookmarkStart w:id="30" w:name="what-this-means-for"/>
    <w:p>
      <w:pPr>
        <w:pStyle w:val="Heading3"/>
      </w:pPr>
      <w:r>
        <w:t xml:space="preserve">7.</w:t>
      </w:r>
      <w:r>
        <w:t xml:space="preserve"> </w:t>
      </w:r>
      <w:r>
        <w:t xml:space="preserve">“</w:t>
      </w:r>
      <w:r>
        <w:t xml:space="preserve">What This Means For…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Implications for different stakeholder groups:</w:t>
      </w:r>
      <w:r>
        <w:t xml:space="preserve"> </w:t>
      </w:r>
      <w:r>
        <w:t xml:space="preserve">- Issuers</w:t>
      </w:r>
      <w:r>
        <w:t xml:space="preserve"> </w:t>
      </w:r>
      <w:r>
        <w:t xml:space="preserve">- DeFi Protocols</w:t>
      </w:r>
      <w:r>
        <w:t xml:space="preserve"> </w:t>
      </w:r>
      <w:r>
        <w:t xml:space="preserve">- Exchanges/ATSs</w:t>
      </w:r>
      <w:r>
        <w:t xml:space="preserve"> </w:t>
      </w:r>
      <w:r>
        <w:t xml:space="preserve">- Custodians/Compliance Teams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Different groups need different information. This section provides actionable intelligence for each audience.</w:t>
      </w:r>
    </w:p>
    <w:bookmarkEnd w:id="30"/>
    <w:bookmarkStart w:id="31" w:name="unresolved-questions-regulatory-gaps"/>
    <w:p>
      <w:pPr>
        <w:pStyle w:val="Heading3"/>
      </w:pPr>
      <w:r>
        <w:t xml:space="preserve">8. Unresolved Questions &amp; Regulatory Gaps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Open questions the SEC hasn’t resolved, organized by:</w:t>
      </w:r>
      <w:r>
        <w:t xml:space="preserve"> </w:t>
      </w:r>
      <w:r>
        <w:t xml:space="preserve">- Doctrinal/Legal Uncertainty</w:t>
      </w:r>
      <w:r>
        <w:t xml:space="preserve"> </w:t>
      </w:r>
      <w:r>
        <w:t xml:space="preserve">- Operational/Compliance Ambiguity</w:t>
      </w:r>
      <w:r>
        <w:t xml:space="preserve"> </w:t>
      </w:r>
      <w:r>
        <w:t xml:space="preserve">- Market Structure &amp; Infrastructure Gaps</w:t>
      </w:r>
      <w:r>
        <w:t xml:space="preserve"> </w:t>
      </w:r>
      <w:r>
        <w:t xml:space="preserve">- Inter-agency/Legislative Gaps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Identifying gaps helps organizations prepare for potential regulatory changes and understand areas of uncertainty.</w:t>
      </w:r>
    </w:p>
    <w:bookmarkEnd w:id="31"/>
    <w:bookmarkStart w:id="32" w:name="future-predictions"/>
    <w:p>
      <w:pPr>
        <w:pStyle w:val="Heading3"/>
      </w:pPr>
      <w:r>
        <w:t xml:space="preserve">9. Future Predictions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Predictions labeled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[EXPLICITLY STATED]</w:t>
      </w:r>
      <w:r>
        <w:t xml:space="preserve">: Direct quotes from meetings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[STRONGLY INFERRED]</w:t>
      </w:r>
      <w:r>
        <w:t xml:space="preserve">: Based on patterns/evidence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[SPECULATIVE]</w:t>
      </w:r>
      <w:r>
        <w:t xml:space="preserve">: Based on influencer views</w:t>
      </w:r>
    </w:p>
    <w:p>
      <w:pPr>
        <w:pStyle w:val="BodyText"/>
      </w:pPr>
      <w:r>
        <w:t xml:space="preserve">Plus a section on</w:t>
      </w:r>
      <w:r>
        <w:t xml:space="preserve"> </w:t>
      </w:r>
      <w:r>
        <w:t xml:space="preserve">“</w:t>
      </w:r>
      <w:r>
        <w:t xml:space="preserve">What Could Change These Predictions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Organizations need to plan for the future. Clear labeling helps users understand prediction certainty.</w:t>
      </w:r>
    </w:p>
    <w:bookmarkEnd w:id="32"/>
    <w:bookmarkStart w:id="33" w:name="sources"/>
    <w:p>
      <w:pPr>
        <w:pStyle w:val="Heading3"/>
      </w:pPr>
      <w:r>
        <w:t xml:space="preserve">10. Sources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Complete list of all meeting reports analyzed and additional sources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Enables verification and further research. Transparency is essential for professional use.</w:t>
      </w:r>
    </w:p>
    <w:bookmarkEnd w:id="33"/>
    <w:bookmarkEnd w:id="34"/>
    <w:bookmarkStart w:id="43" w:name="benefits-of-this-report"/>
    <w:p>
      <w:pPr>
        <w:pStyle w:val="Heading2"/>
      </w:pPr>
      <w:r>
        <w:t xml:space="preserve">Benefits of This Report</w:t>
      </w:r>
    </w:p>
    <w:bookmarkStart w:id="35" w:name="time-saving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Time Savings</w:t>
      </w:r>
    </w:p>
    <w:p>
      <w:pPr>
        <w:pStyle w:val="Compact"/>
        <w:numPr>
          <w:ilvl w:val="0"/>
          <w:numId w:val="1007"/>
        </w:numPr>
      </w:pPr>
      <w:r>
        <w:t xml:space="preserve">Combines multiple meeting reports into one document</w:t>
      </w:r>
    </w:p>
    <w:p>
      <w:pPr>
        <w:pStyle w:val="Compact"/>
        <w:numPr>
          <w:ilvl w:val="0"/>
          <w:numId w:val="1007"/>
        </w:numPr>
      </w:pPr>
      <w:r>
        <w:t xml:space="preserve">No need to read and compare individual reports manually</w:t>
      </w:r>
    </w:p>
    <w:p>
      <w:pPr>
        <w:pStyle w:val="Compact"/>
        <w:numPr>
          <w:ilvl w:val="0"/>
          <w:numId w:val="1007"/>
        </w:numPr>
      </w:pPr>
      <w:r>
        <w:t xml:space="preserve">Executive brief provides quick overview</w:t>
      </w:r>
    </w:p>
    <w:bookmarkEnd w:id="35"/>
    <w:bookmarkStart w:id="36" w:name="pattern-recogni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Pattern Recognition</w:t>
      </w:r>
    </w:p>
    <w:p>
      <w:pPr>
        <w:pStyle w:val="Compact"/>
        <w:numPr>
          <w:ilvl w:val="0"/>
          <w:numId w:val="1008"/>
        </w:numPr>
      </w:pPr>
      <w:r>
        <w:t xml:space="preserve">Identifies recurring themes across meetings</w:t>
      </w:r>
    </w:p>
    <w:p>
      <w:pPr>
        <w:pStyle w:val="Compact"/>
        <w:numPr>
          <w:ilvl w:val="0"/>
          <w:numId w:val="1008"/>
        </w:numPr>
      </w:pPr>
      <w:r>
        <w:t xml:space="preserve">Shows which topics are gaining or losing attention</w:t>
      </w:r>
    </w:p>
    <w:p>
      <w:pPr>
        <w:pStyle w:val="Compact"/>
        <w:numPr>
          <w:ilvl w:val="0"/>
          <w:numId w:val="1008"/>
        </w:numPr>
      </w:pPr>
      <w:r>
        <w:t xml:space="preserve">Highlights consistent vs. changing positions</w:t>
      </w:r>
    </w:p>
    <w:bookmarkEnd w:id="36"/>
    <w:bookmarkStart w:id="37" w:name="evidence-based-analysi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Evidence-Based Analysis</w:t>
      </w:r>
    </w:p>
    <w:p>
      <w:pPr>
        <w:pStyle w:val="Compact"/>
        <w:numPr>
          <w:ilvl w:val="0"/>
          <w:numId w:val="1009"/>
        </w:numPr>
      </w:pPr>
      <w:r>
        <w:t xml:space="preserve">All claims supported by evidence</w:t>
      </w:r>
    </w:p>
    <w:p>
      <w:pPr>
        <w:pStyle w:val="Compact"/>
        <w:numPr>
          <w:ilvl w:val="0"/>
          <w:numId w:val="1009"/>
        </w:numPr>
      </w:pPr>
      <w:r>
        <w:t xml:space="preserve">Clear separation of facts, analysis, and inference</w:t>
      </w:r>
    </w:p>
    <w:p>
      <w:pPr>
        <w:pStyle w:val="Compact"/>
        <w:numPr>
          <w:ilvl w:val="0"/>
          <w:numId w:val="1009"/>
        </w:numPr>
      </w:pPr>
      <w:r>
        <w:t xml:space="preserve">Confidence levels for predictions</w:t>
      </w:r>
    </w:p>
    <w:bookmarkEnd w:id="37"/>
    <w:bookmarkStart w:id="38" w:name="actionable-intelligenc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Actionable Intelligence</w:t>
      </w:r>
    </w:p>
    <w:p>
      <w:pPr>
        <w:pStyle w:val="Compact"/>
        <w:numPr>
          <w:ilvl w:val="0"/>
          <w:numId w:val="1010"/>
        </w:numPr>
      </w:pPr>
      <w:r>
        <w:t xml:space="preserve">Stakeholder-specific implications</w:t>
      </w:r>
    </w:p>
    <w:p>
      <w:pPr>
        <w:pStyle w:val="Compact"/>
        <w:numPr>
          <w:ilvl w:val="0"/>
          <w:numId w:val="1010"/>
        </w:numPr>
      </w:pPr>
      <w:r>
        <w:t xml:space="preserve">Identifies regulatory gaps to watch</w:t>
      </w:r>
    </w:p>
    <w:p>
      <w:pPr>
        <w:pStyle w:val="Compact"/>
        <w:numPr>
          <w:ilvl w:val="0"/>
          <w:numId w:val="1010"/>
        </w:numPr>
      </w:pPr>
      <w:r>
        <w:t xml:space="preserve">Predicts future directions with confidence levels</w:t>
      </w:r>
    </w:p>
    <w:bookmarkEnd w:id="38"/>
    <w:bookmarkStart w:id="39" w:name="professional-quality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Professional Quality</w:t>
      </w:r>
    </w:p>
    <w:p>
      <w:pPr>
        <w:pStyle w:val="Compact"/>
        <w:numPr>
          <w:ilvl w:val="0"/>
          <w:numId w:val="1011"/>
        </w:numPr>
      </w:pPr>
      <w:r>
        <w:t xml:space="preserve">Suitable for client briefings</w:t>
      </w:r>
    </w:p>
    <w:p>
      <w:pPr>
        <w:pStyle w:val="Compact"/>
        <w:numPr>
          <w:ilvl w:val="0"/>
          <w:numId w:val="1011"/>
        </w:numPr>
      </w:pPr>
      <w:r>
        <w:t xml:space="preserve">Can be used in compliance memos</w:t>
      </w:r>
    </w:p>
    <w:p>
      <w:pPr>
        <w:pStyle w:val="Compact"/>
        <w:numPr>
          <w:ilvl w:val="0"/>
          <w:numId w:val="1011"/>
        </w:numPr>
      </w:pPr>
      <w:r>
        <w:t xml:space="preserve">Ready for internal policy analysis</w:t>
      </w:r>
    </w:p>
    <w:p>
      <w:pPr>
        <w:pStyle w:val="Compact"/>
        <w:numPr>
          <w:ilvl w:val="0"/>
          <w:numId w:val="1011"/>
        </w:numPr>
      </w:pPr>
      <w:r>
        <w:t xml:space="preserve">Markdown format works in multiple systems</w:t>
      </w:r>
    </w:p>
    <w:bookmarkEnd w:id="39"/>
    <w:bookmarkStart w:id="40" w:name="comprehensive-coverage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Comprehensive Coverage</w:t>
      </w:r>
    </w:p>
    <w:p>
      <w:pPr>
        <w:pStyle w:val="Compact"/>
        <w:numPr>
          <w:ilvl w:val="0"/>
          <w:numId w:val="1012"/>
        </w:numPr>
      </w:pPr>
      <w:r>
        <w:t xml:space="preserve">Analyzes all meetings together</w:t>
      </w:r>
    </w:p>
    <w:p>
      <w:pPr>
        <w:pStyle w:val="Compact"/>
        <w:numPr>
          <w:ilvl w:val="0"/>
          <w:numId w:val="1012"/>
        </w:numPr>
      </w:pPr>
      <w:r>
        <w:t xml:space="preserve">Tracks speakers across multiple meetings</w:t>
      </w:r>
    </w:p>
    <w:p>
      <w:pPr>
        <w:pStyle w:val="Compact"/>
        <w:numPr>
          <w:ilvl w:val="0"/>
          <w:numId w:val="1012"/>
        </w:numPr>
      </w:pPr>
      <w:r>
        <w:t xml:space="preserve">Identifies most influential voices</w:t>
      </w:r>
    </w:p>
    <w:p>
      <w:pPr>
        <w:pStyle w:val="Compact"/>
        <w:numPr>
          <w:ilvl w:val="0"/>
          <w:numId w:val="1012"/>
        </w:numPr>
      </w:pPr>
      <w:r>
        <w:t xml:space="preserve">Covers all major topics</w:t>
      </w:r>
    </w:p>
    <w:bookmarkEnd w:id="40"/>
    <w:bookmarkStart w:id="41" w:name="future-planning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Future Planning</w:t>
      </w:r>
    </w:p>
    <w:p>
      <w:pPr>
        <w:pStyle w:val="Compact"/>
        <w:numPr>
          <w:ilvl w:val="0"/>
          <w:numId w:val="1013"/>
        </w:numPr>
      </w:pPr>
      <w:r>
        <w:t xml:space="preserve">Predictions help organizations prepare</w:t>
      </w:r>
    </w:p>
    <w:p>
      <w:pPr>
        <w:pStyle w:val="Compact"/>
        <w:numPr>
          <w:ilvl w:val="0"/>
          <w:numId w:val="1013"/>
        </w:numPr>
      </w:pPr>
      <w:r>
        <w:t xml:space="preserve">Identifies unresolved questions</w:t>
      </w:r>
    </w:p>
    <w:p>
      <w:pPr>
        <w:pStyle w:val="Compact"/>
        <w:numPr>
          <w:ilvl w:val="0"/>
          <w:numId w:val="1013"/>
        </w:numPr>
      </w:pPr>
      <w:r>
        <w:t xml:space="preserve">Shows potential paths to resolution</w:t>
      </w:r>
    </w:p>
    <w:p>
      <w:pPr>
        <w:pStyle w:val="Compact"/>
        <w:numPr>
          <w:ilvl w:val="0"/>
          <w:numId w:val="1013"/>
        </w:numPr>
      </w:pPr>
      <w:r>
        <w:t xml:space="preserve">Considers what could change predictions</w:t>
      </w:r>
    </w:p>
    <w:bookmarkEnd w:id="41"/>
    <w:bookmarkStart w:id="42" w:name="easy-to-use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Easy to Use</w:t>
      </w:r>
    </w:p>
    <w:p>
      <w:pPr>
        <w:pStyle w:val="Compact"/>
        <w:numPr>
          <w:ilvl w:val="0"/>
          <w:numId w:val="1014"/>
        </w:numPr>
      </w:pPr>
      <w:r>
        <w:t xml:space="preserve">Markdown format renders beautifully</w:t>
      </w:r>
    </w:p>
    <w:p>
      <w:pPr>
        <w:pStyle w:val="Compact"/>
        <w:numPr>
          <w:ilvl w:val="0"/>
          <w:numId w:val="1014"/>
        </w:numPr>
      </w:pPr>
      <w:r>
        <w:t xml:space="preserve">Tables and matrices for quick scanning</w:t>
      </w:r>
    </w:p>
    <w:p>
      <w:pPr>
        <w:pStyle w:val="Compact"/>
        <w:numPr>
          <w:ilvl w:val="0"/>
          <w:numId w:val="1014"/>
        </w:numPr>
      </w:pPr>
      <w:r>
        <w:t xml:space="preserve">Clear section headers</w:t>
      </w:r>
    </w:p>
    <w:p>
      <w:pPr>
        <w:pStyle w:val="Compact"/>
        <w:numPr>
          <w:ilvl w:val="0"/>
          <w:numId w:val="1014"/>
        </w:numPr>
      </w:pPr>
      <w:r>
        <w:t xml:space="preserve">Skimmable for busy executives</w:t>
      </w:r>
    </w:p>
    <w:bookmarkEnd w:id="42"/>
    <w:bookmarkEnd w:id="43"/>
    <w:bookmarkStart w:id="44" w:name="simple-summary"/>
    <w:p>
      <w:pPr>
        <w:pStyle w:val="Heading2"/>
      </w:pPr>
      <w:r>
        <w:t xml:space="preserve">Simple Summary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 Takes multiple SEC meeting reports and creates one comprehensive analysis that shows patterns, identifies key players, predicts future actions, and explains what it all means for different organizations.</w:t>
      </w:r>
    </w:p>
    <w:p>
      <w:pPr>
        <w:pStyle w:val="BodyText"/>
      </w:pPr>
      <w:r>
        <w:rPr>
          <w:b/>
          <w:bCs/>
        </w:rPr>
        <w:t xml:space="preserve">Why it’s useful</w:t>
      </w:r>
      <w:r>
        <w:t xml:space="preserve">: Saves time, provides evidence-based insights, helps with planning, and gives actionable intelligence in a professional format.</w:t>
      </w:r>
    </w:p>
    <w:p>
      <w:pPr>
        <w:pStyle w:val="BodyText"/>
      </w:pPr>
      <w:r>
        <w:rPr>
          <w:b/>
          <w:bCs/>
        </w:rPr>
        <w:t xml:space="preserve">Who benefits</w:t>
      </w:r>
      <w:r>
        <w:t xml:space="preserve">: Executives, compliance teams, policy analysts, legal teams, and anyone who needs to understand SEC crypto regulatory trends and future directions.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2025-12-22T17:49:51Z</dcterms:created>
  <dcterms:modified xsi:type="dcterms:W3CDTF">2025-12-22T17:49:51Z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