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d01cf7d0194aaa" /><Relationship Type="http://schemas.openxmlformats.org/package/2006/relationships/metadata/core-properties" Target="/docProps/core.xml" Id="R92d72ec82e494b86" /><Relationship Type="http://schemas.openxmlformats.org/officeDocument/2006/relationships/extended-properties" Target="/docProps/app.xml" Id="R9951eca646294e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2025-06-16T07:13:12.5072130Z</dcterms:created>
  <dcterms:modified xsi:type="dcterms:W3CDTF">2025-06-16T07:13:12.5072130Z</dcterms:modified>
  <dc:creator>Openize.Words</dc:creator>
</coreProperties>
</file>