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200"/>
        <w:jc w:val="center"/>
      </w:pPr>
      <w:r>
        <w:rPr>
          <w:b/>
          <w:bCs/>
          <w:color w:val="CC1111"/>
          <w:sz w:val="56"/>
          <w:szCs w:val="56"/>
        </w:rPr>
        <w:t xml:space="preserve">Software Requirements Specification</w:t>
      </w:r>
    </w:p>
    <w:p>
      <w:pPr>
        <w:spacing w:after="100"/>
        <w:jc w:val="center"/>
      </w:pPr>
      <w:r>
        <w:rPr>
          <w:color w:val="555555"/>
          <w:sz w:val="28"/>
          <w:szCs w:val="28"/>
        </w:rPr>
        <w:t xml:space="preserve">Digital Banking Ops Automation</w:t>
      </w:r>
    </w:p>
    <w:p>
      <w:pPr>
        <w:spacing w:after="40"/>
        <w:jc w:val="center"/>
      </w:pPr>
      <w:r>
        <w:rPr>
          <w:i/>
          <w:iCs/>
          <w:color w:val="888888"/>
          <w:sz w:val="22"/>
          <w:szCs w:val="22"/>
        </w:rPr>
        <w:t xml:space="preserve">Digital Banking Backend + Ops Automation — Capstone (n8n)</w:t>
      </w:r>
    </w:p>
    <w:p>
      <w:pPr>
        <w:jc w:val="center"/>
      </w:pPr>
      <w:r>
        <w:rPr>
          <w:color w:val="888888"/>
          <w:sz w:val="20"/>
          <w:szCs w:val="20"/>
        </w:rPr>
        <w:t xml:space="preserve">Prepared by: Ansari  |  University of Agriculture Faisalabad  |  Hackathon Build</w:t>
      </w:r>
    </w:p>
    <w:p>
      <w:pPr>
        <w:pageBreakBefore/>
      </w:pPr>
    </w:p>
    <w:p>
      <w:pPr>
        <w:pStyle w:val="Heading1"/>
        <w:spacing w:after="150" w:before="300"/>
      </w:pPr>
      <w:r>
        <w:t xml:space="preserve">1. Introduction</w:t>
      </w:r>
    </w:p>
    <w:p>
      <w:pPr>
        <w:pStyle w:val="Heading2"/>
        <w:spacing w:after="120" w:before="240"/>
      </w:pPr>
      <w:r>
        <w:t xml:space="preserve">1.1 Purpose</w:t>
      </w:r>
    </w:p>
    <w:p>
      <w:pPr>
        <w:spacing w:after="120"/>
      </w:pPr>
      <w:r>
        <w:t xml:space="preserve">This SRS defines the functional and non-functional requirements for the Digital Banking Backend + Ops Automation capstone: an n8n-orchestrated system on top of a Postgres ledger, with Pinecone-based retrieval and Groq-based reasoning for a human-supervised customer support and fraud-ops layer.</w:t>
      </w:r>
    </w:p>
    <w:p>
      <w:pPr>
        <w:pStyle w:val="Heading2"/>
        <w:spacing w:after="120" w:before="240"/>
      </w:pPr>
      <w:r>
        <w:t xml:space="preserve">1.2 Scope</w:t>
      </w:r>
    </w:p>
    <w:p>
      <w:pPr>
        <w:spacing w:after="120"/>
      </w:pPr>
      <w:r>
        <w:t>Covers account &amp; ownership management, transaction integrity, standing order scheduling, reconciliation, fraud detection/hold handling, RAG-based support drafting, and the automation autonomy boundary. Excludes real payment-rail integration and production KYC/AML. Gmail is the sole customer-facing communication channel throughout (FR-26).</w:t>
      </w:r>
    </w:p>
    <w:p>
      <w:pPr>
        <w:pStyle w:val="Heading2"/>
        <w:spacing w:after="120" w:before="240"/>
      </w:pPr>
      <w:r>
        <w:t xml:space="preserve">1.3 Definitions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Ledger of truth — the Postgres transactions table; all balances are derived from it, never stored as the sole source.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Idempotency key — a caller-supplied unique token preventing duplicate processing of the same logical request.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Grounded response — an LLM output whose claims are traceable to a specific retrieved policy_id.</w:t>
      </w:r>
    </w:p>
    <w:p>
      <w:pPr>
        <w:pStyle w:val="Heading1"/>
        <w:spacing w:after="150" w:before="300"/>
      </w:pPr>
      <w:r>
        <w:t xml:space="preserve">2. Overall Description</w:t>
      </w:r>
    </w:p>
    <w:p>
      <w:pPr>
        <w:pStyle w:val="Heading2"/>
        <w:spacing w:after="120" w:before="240"/>
      </w:pPr>
      <w:r>
        <w:t xml:space="preserve">2.1 User Classes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Single-holder customer, joint holders (2 / 3+), guardian + minor pair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Bank operations / fraud &amp; support staff (human-in-the-loop approver)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automation layer (n8n workflows, Python services, LLM) — a bounded, non-autonomous actor for any money-moving or customer-facing decision</w:t>
      </w:r>
    </w:p>
    <w:p>
      <w:pPr>
        <w:pStyle w:val="Heading2"/>
        <w:spacing w:after="120" w:before="240"/>
      </w:pPr>
      <w:r>
        <w:t xml:space="preserve">2.2 Operating Environment</w:t>
      </w:r>
    </w:p>
    <w:p>
      <w:pPr>
        <w:spacing w:after="120"/>
      </w:pPr>
      <w:r>
        <w:t xml:space="preserve">n8n (workflow orchestration), PostgreSQL/Supabase (ledger + relational state), Pinecone (vector search over policy/fraud documents), Groq llama-3.3-70b-versatile (LLM reasoning via native LangChain nodes), Gmail (customer channel), Python (interest calculation, fraud scoring, reconciliation logic).</w:t>
      </w:r>
    </w:p>
    <w:p>
      <w:pPr>
        <w:pStyle w:val="Heading1"/>
        <w:spacing w:after="150" w:before="300"/>
      </w:pPr>
      <w:r>
        <w:t xml:space="preserve">3. Functional Requirements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6000"/>
      </w:tblGrid>
      <w:tr>
        <w:tc>
          <w:tcPr>
            <w:tcW w:type="dxa" w:w="900"/>
            <w:shd w:fill="0D0D0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shd w:fill="0D0D0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6000"/>
            <w:shd w:fill="0D0D0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FR-1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Account &amp; Ownership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System shall support single-holder and joint (2+ holder) account creation with configurable either-or or both-signature authority.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FR-2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Account &amp; Ownership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System shall require mutual consent from all existing holders before a holder is removed from a joint account.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FR-3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Account &amp; Ownership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System shall support guardian-managed minor accounts with guardian-acts / minor-views-only permissions, converting automatically at age 18.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FR-4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Account &amp; Ownership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System shall freeze (not auto-close) a joint account when holders disagree on closure.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FR-5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Transactions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System shall reject duplicate transfer submissions using a client-supplied idempotency key enforced by a unique DB constraint.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FR-6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Transactions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System shall use row-level locking (SELECT ... FOR UPDATE) and transactional isolation to prevent concurrent-withdrawal overdrafts.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FR-7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Transactions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System shall roll back the entire transfer (debit and credit) if any leg fails, and notify the sender automatically.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FR-8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Transactions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System shall record a debt/negative-balance entry when a reversal or chargeback occurs after funds have already been spent.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FR-9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Standing Orders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System shall process standing orders falling on a weekend/holiday on the preceding business day.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FR-10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Standing Orders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System shall retry a failed standing order on the next business day, up to 3 attempts, before marking it permanently failed and notifying the customer.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FR-11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Standing Orders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System shall use row-level locking to prevent a race condition when a standing order is edited or deleted mid-execution.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FR-12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Reconciliation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System shall run a nightly job comparing the sum of ledger transactions against each account's reported balance and alert operations on any mismatch.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FR-13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Fraud/RAG Support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System shall auto-draft (never auto-send) a response to customer support queries using retrieved policy context.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FR-14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Fraud/RAG Support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System shall require the drafting model to cite a policy_id or return NO_CONFIDENT_ANSWER, and discard retrieved matches below a 0.75 similarity threshold.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FR-15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Fraud/RAG Support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System shall immediately place an account/transaction on hold when a fraud score exceeds threshold, releasable only via human approval.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FR-16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Fraud/RAG Support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System shall require input from all joint account holders before finalizing a dispute resolution.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FR-17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Fraud/RAG Support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System shall route every RAG-drafted customer email through a human approval gate before sending.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FR-18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Autonomy Boundaries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System shall maintain an explicit, enforced list of actions automation may take unsupervised versus actions always requiring human sign-off.</w:t>
            </w:r>
          </w:p>
        </w:tc>
      </w:tr>
      <w:tr>
        <w:tc>
          <w:tcPr>
            <w:tcW w:type="dxa" w:w="900"/>
          </w:tcPr>
          <w:p>
            <w:r/>
            <w:r>
              <w:rPr>
                <w:b w:val="0"/>
                <w:color w:val="000000"/>
                <w:sz w:val="18"/>
              </w:rPr>
              <w:t>FR-19</w:t>
            </w:r>
          </w:p>
        </w:tc>
        <w:tc>
          <w:tcPr>
            <w:tcW w:type="dxa" w:w="2100"/>
          </w:tcPr>
          <w:p>
            <w:r/>
            <w:r>
              <w:rPr>
                <w:b w:val="0"/>
                <w:color w:val="000000"/>
                <w:sz w:val="18"/>
              </w:rPr>
              <w:t>Account &amp; Ownership</w:t>
            </w:r>
          </w:p>
        </w:tc>
        <w:tc>
          <w:tcPr>
            <w:tcW w:type="dxa" w:w="6000"/>
          </w:tcPr>
          <w:p>
            <w:r/>
            <w:r>
              <w:rPr>
                <w:b w:val="0"/>
                <w:color w:val="000000"/>
                <w:sz w:val="18"/>
              </w:rPr>
              <w:t>System shall use majority-vote authority for holder-management actions on 3+ holder accounts, and either-or authority for day-to-day transactions unless both-signature is configured.</w:t>
            </w:r>
          </w:p>
        </w:tc>
      </w:tr>
      <w:tr>
        <w:tc>
          <w:tcPr>
            <w:tcW w:type="dxa" w:w="900"/>
          </w:tcPr>
          <w:p>
            <w:r/>
            <w:r>
              <w:rPr>
                <w:b w:val="0"/>
                <w:color w:val="000000"/>
                <w:sz w:val="18"/>
              </w:rPr>
              <w:t>FR-20</w:t>
            </w:r>
          </w:p>
        </w:tc>
        <w:tc>
          <w:tcPr>
            <w:tcW w:type="dxa" w:w="2100"/>
          </w:tcPr>
          <w:p>
            <w:r/>
            <w:r>
              <w:rPr>
                <w:b w:val="0"/>
                <w:color w:val="000000"/>
                <w:sz w:val="18"/>
              </w:rPr>
              <w:t>Account &amp; Ownership</w:t>
            </w:r>
          </w:p>
        </w:tc>
        <w:tc>
          <w:tcPr>
            <w:tcW w:type="dxa" w:w="6000"/>
          </w:tcPr>
          <w:p>
            <w:r/>
            <w:r>
              <w:rPr>
                <w:b w:val="0"/>
                <w:color w:val="000000"/>
                <w:sz w:val="18"/>
              </w:rPr>
              <w:t>System shall require a new holder joining an account with existing debt to acknowledge that balance before being added; liability starts from the join date, never retroactively.</w:t>
            </w:r>
          </w:p>
        </w:tc>
      </w:tr>
      <w:tr>
        <w:tc>
          <w:tcPr>
            <w:tcW w:type="dxa" w:w="900"/>
          </w:tcPr>
          <w:p>
            <w:r/>
            <w:r>
              <w:rPr>
                <w:b w:val="0"/>
                <w:color w:val="000000"/>
                <w:sz w:val="18"/>
              </w:rPr>
              <w:t>FR-21</w:t>
            </w:r>
          </w:p>
        </w:tc>
        <w:tc>
          <w:tcPr>
            <w:tcW w:type="dxa" w:w="2100"/>
          </w:tcPr>
          <w:p>
            <w:r/>
            <w:r>
              <w:rPr>
                <w:b w:val="0"/>
                <w:color w:val="000000"/>
                <w:sz w:val="18"/>
              </w:rPr>
              <w:t>Account &amp; Ownership</w:t>
            </w:r>
          </w:p>
        </w:tc>
        <w:tc>
          <w:tcPr>
            <w:tcW w:type="dxa" w:w="6000"/>
          </w:tcPr>
          <w:p>
            <w:r/>
            <w:r>
              <w:rPr>
                <w:b w:val="0"/>
                <w:color w:val="000000"/>
                <w:sz w:val="18"/>
              </w:rPr>
              <w:t>System shall auto-convert a minor account to full access on the holder's 18th birthday and send the guardian a 30-day advance notice beforehand.</w:t>
            </w:r>
          </w:p>
        </w:tc>
      </w:tr>
      <w:tr>
        <w:tc>
          <w:tcPr>
            <w:tcW w:type="dxa" w:w="900"/>
          </w:tcPr>
          <w:p>
            <w:r/>
            <w:r>
              <w:rPr>
                <w:b w:val="0"/>
                <w:color w:val="000000"/>
                <w:sz w:val="18"/>
              </w:rPr>
              <w:t>FR-22</w:t>
            </w:r>
          </w:p>
        </w:tc>
        <w:tc>
          <w:tcPr>
            <w:tcW w:type="dxa" w:w="2100"/>
          </w:tcPr>
          <w:p>
            <w:r/>
            <w:r>
              <w:rPr>
                <w:b w:val="0"/>
                <w:color w:val="000000"/>
                <w:sz w:val="18"/>
              </w:rPr>
              <w:t>Account &amp; Ownership</w:t>
            </w:r>
          </w:p>
        </w:tc>
        <w:tc>
          <w:tcPr>
            <w:tcW w:type="dxa" w:w="6000"/>
          </w:tcPr>
          <w:p>
            <w:r/>
            <w:r>
              <w:rPr>
                <w:b w:val="0"/>
                <w:color w:val="000000"/>
                <w:sz w:val="18"/>
              </w:rPr>
              <w:t>System shall support single-holder and joint (2+) account creation as a synchronous operation: one accounts row plus one account_holders row per holder.</w:t>
            </w:r>
          </w:p>
        </w:tc>
      </w:tr>
      <w:tr>
        <w:tc>
          <w:tcPr>
            <w:tcW w:type="dxa" w:w="900"/>
          </w:tcPr>
          <w:p>
            <w:r/>
            <w:r>
              <w:rPr>
                <w:b w:val="0"/>
                <w:color w:val="000000"/>
                <w:sz w:val="18"/>
              </w:rPr>
              <w:t>FR-23</w:t>
            </w:r>
          </w:p>
        </w:tc>
        <w:tc>
          <w:tcPr>
            <w:tcW w:type="dxa" w:w="2100"/>
          </w:tcPr>
          <w:p>
            <w:r/>
            <w:r>
              <w:rPr>
                <w:b w:val="0"/>
                <w:color w:val="000000"/>
                <w:sz w:val="18"/>
              </w:rPr>
              <w:t>Transactions</w:t>
            </w:r>
          </w:p>
        </w:tc>
        <w:tc>
          <w:tcPr>
            <w:tcW w:type="dxa" w:w="6000"/>
          </w:tcPr>
          <w:p>
            <w:r/>
            <w:r>
              <w:rPr>
                <w:b w:val="0"/>
                <w:color w:val="000000"/>
                <w:sz w:val="18"/>
              </w:rPr>
              <w:t>System shall record chargeback/reversal debt as a distinct debt-type transaction with an associated repayment plan queued for approval, never a silent balance adjustment.</w:t>
            </w:r>
          </w:p>
        </w:tc>
      </w:tr>
      <w:tr>
        <w:tc>
          <w:tcPr>
            <w:tcW w:type="dxa" w:w="900"/>
          </w:tcPr>
          <w:p>
            <w:r/>
            <w:r>
              <w:rPr>
                <w:b w:val="0"/>
                <w:color w:val="000000"/>
                <w:sz w:val="18"/>
              </w:rPr>
              <w:t>FR-24</w:t>
            </w:r>
          </w:p>
        </w:tc>
        <w:tc>
          <w:tcPr>
            <w:tcW w:type="dxa" w:w="2100"/>
          </w:tcPr>
          <w:p>
            <w:r/>
            <w:r>
              <w:rPr>
                <w:b w:val="0"/>
                <w:color w:val="000000"/>
                <w:sz w:val="18"/>
              </w:rPr>
              <w:t>Transactions</w:t>
            </w:r>
          </w:p>
        </w:tc>
        <w:tc>
          <w:tcPr>
            <w:tcW w:type="dxa" w:w="6000"/>
          </w:tcPr>
          <w:p>
            <w:r/>
            <w:r>
              <w:rPr>
                <w:b w:val="0"/>
                <w:color w:val="000000"/>
                <w:sz w:val="18"/>
              </w:rPr>
              <w:t>System shall reverse the first leg of a two-leg transfer (debit) if the second leg (credit) fails, before rolling back, and notify the sender with zero net side effects.</w:t>
            </w:r>
          </w:p>
        </w:tc>
      </w:tr>
      <w:tr>
        <w:tc>
          <w:tcPr>
            <w:tcW w:type="dxa" w:w="900"/>
          </w:tcPr>
          <w:p>
            <w:r/>
            <w:r>
              <w:rPr>
                <w:b w:val="0"/>
                <w:color w:val="000000"/>
                <w:sz w:val="18"/>
              </w:rPr>
              <w:t>FR-25</w:t>
            </w:r>
          </w:p>
        </w:tc>
        <w:tc>
          <w:tcPr>
            <w:tcW w:type="dxa" w:w="2100"/>
          </w:tcPr>
          <w:p>
            <w:r/>
            <w:r>
              <w:rPr>
                <w:b w:val="0"/>
                <w:color w:val="000000"/>
                <w:sz w:val="18"/>
              </w:rPr>
              <w:t>Fraud/RAG Support</w:t>
            </w:r>
          </w:p>
        </w:tc>
        <w:tc>
          <w:tcPr>
            <w:tcW w:type="dxa" w:w="6000"/>
          </w:tcPr>
          <w:p>
            <w:r/>
            <w:r>
              <w:rPr>
                <w:b w:val="0"/>
                <w:color w:val="000000"/>
                <w:sz w:val="18"/>
              </w:rPr>
              <w:t>System shall log a customer's fraud-hold self-attestation reply for human review without auto-releasing the hold.</w:t>
            </w:r>
          </w:p>
        </w:tc>
      </w:tr>
      <w:tr>
        <w:tc>
          <w:tcPr>
            <w:tcW w:type="dxa" w:w="900"/>
          </w:tcPr>
          <w:p>
            <w:r/>
            <w:r>
              <w:rPr>
                <w:b w:val="0"/>
                <w:color w:val="000000"/>
                <w:sz w:val="18"/>
              </w:rPr>
              <w:t>FR-26</w:t>
            </w:r>
          </w:p>
        </w:tc>
        <w:tc>
          <w:tcPr>
            <w:tcW w:type="dxa" w:w="2100"/>
          </w:tcPr>
          <w:p>
            <w:r/>
            <w:r>
              <w:rPr>
                <w:b w:val="0"/>
                <w:color w:val="000000"/>
                <w:sz w:val="18"/>
              </w:rPr>
              <w:t>Communication Channel</w:t>
            </w:r>
          </w:p>
        </w:tc>
        <w:tc>
          <w:tcPr>
            <w:tcW w:type="dxa" w:w="6000"/>
          </w:tcPr>
          <w:p>
            <w:r/>
            <w:r>
              <w:rPr>
                <w:b w:val="0"/>
                <w:color w:val="000000"/>
                <w:sz w:val="18"/>
              </w:rPr>
              <w:t>System shall treat Gmail as the exclusive customer-facing channel: every customer-originated input is read from an inbound Gmail message (trigger or reply) and every customer-facing output is sent as a Gmail message; only internal ops/staff actions may use a plain webhook.</w:t>
            </w:r>
          </w:p>
        </w:tc>
      </w:tr>
      <w:tr>
        <w:tc>
          <w:tcPr>
            <w:tcW w:type="dxa" w:w="900"/>
          </w:tcPr>
          <w:p>
            <w:r/>
            <w:r>
              <w:rPr>
                <w:b w:val="0"/>
                <w:color w:val="000000"/>
                <w:sz w:val="18"/>
              </w:rPr>
              <w:t>FR-27</w:t>
            </w:r>
          </w:p>
        </w:tc>
        <w:tc>
          <w:tcPr>
            <w:tcW w:type="dxa" w:w="2100"/>
          </w:tcPr>
          <w:p>
            <w:r/>
            <w:r>
              <w:rPr>
                <w:b w:val="0"/>
                <w:color w:val="000000"/>
                <w:sz w:val="18"/>
              </w:rPr>
              <w:t>Autonomy Boundaries</w:t>
            </w:r>
          </w:p>
        </w:tc>
        <w:tc>
          <w:tcPr>
            <w:tcW w:type="dxa" w:w="6000"/>
          </w:tcPr>
          <w:p>
            <w:r/>
            <w:r>
              <w:rPr>
                <w:b w:val="0"/>
                <w:color w:val="000000"/>
                <w:sz w:val="18"/>
              </w:rPr>
              <w:t>System shall enforce at runtime, not only in documentation, that fraud-hold release and any RAG-drafted reply send require an authenticated human actor on the request payload, hard-failing execution otherwise.</w:t>
            </w:r>
          </w:p>
        </w:tc>
      </w:tr>
    </w:tbl>
    <w:p>
      <w:pPr>
        <w:pStyle w:val="Heading1"/>
        <w:spacing w:after="150" w:before="300"/>
      </w:pPr>
      <w:r>
        <w:t xml:space="preserve">4. Non-Functional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Atomicity: every ledger-affecting operation must be fully committed or fully rolled back — no partial states.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Concurrency safety: row-level locking / SERIALIZABLE isolation on any balance-affecting read-then-write.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Auditability: every automated decision (hold, release, reversal, sent email) is written to an append-only audit_log table.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Groundedness: RAG responses must cite source policy_id; ungrounded output is suppressed, never sent.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Human oversight: no customer-facing financial communication or fraud-hold release is fully autonomous.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Latency: RAG draft generation target under 8 seconds end-to-end for demo purposes.</w:t>
      </w:r>
    </w:p>
    <w:p>
      <w:pPr>
        <w:pStyle w:val="Heading1"/>
        <w:spacing w:after="150" w:before="300"/>
      </w:pPr>
      <w:r>
        <w:t xml:space="preserve">5. External Interface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Postgres: relational schema for accounts, holders, transactions, standing_orders, fraud_flags, disputes, approval_queue, audit_log.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Pinecone: vector index over policy documents and historical fraud-pattern cases, queried via native LangChain vector store node.</w:t>
      </w:r>
    </w:p>
    <w:p>
      <w:pPr>
        <w:pStyle w:val="ListParagraph"/>
        <w:numPr>
          <w:ilvl w:val="0"/>
          <w:numId w:val="2"/>
        </w:numPr>
        <w:spacing w:after="60"/>
      </w:pPr>
      <w:r>
        <w:t>Gmail: the exclusive customer-facing channel (FR-26) — trigger on inbound support/reply email; draft-creation and send actions gated by approval_queue status.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Groq API: LLM chat model node for intent classification and grounded drafting.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n8n: hosts all workflow logic; Cron, Webhook, Postgres, Gmail, and LangChain nodes.</w:t>
      </w:r>
    </w:p>
    <w:p>
      <w:pPr>
        <w:pStyle w:val="Heading1"/>
        <w:spacing w:after="150" w:before="300"/>
      </w:pPr>
      <w:r>
        <w:t xml:space="preserve">6. Constraints &amp; Assumptions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Hackathon timeframe: build prioritizes the P0 demoable slice over exhaustive coverage of all 32 items.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Payment rails, real KYC, and full role-based auth are simulated/assumed rather than implemented.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Groq is assumed available and rate-limit-sufficient for demo traffic volume.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2026-09-06T16:53:39.105Z</dcterms:created>
  <dcterms:modified xsi:type="dcterms:W3CDTF">2026-09-06T16:53:39.105Z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