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C1111"/>
          <w:sz w:val="56"/>
          <w:szCs w:val="56"/>
        </w:rPr>
        <w:t xml:space="preserve">Technical Requirements Document</w:t>
      </w:r>
    </w:p>
    <w:p>
      <w:pPr>
        <w:spacing w:after="100"/>
        <w:jc w:val="center"/>
      </w:pPr>
      <w:r>
        <w:rPr>
          <w:color w:val="555555"/>
          <w:sz w:val="28"/>
          <w:szCs w:val="28"/>
        </w:rPr>
        <w:t xml:space="preserve">Digital Banking Ops Automation</w:t>
      </w:r>
    </w:p>
    <w:p>
      <w:pPr>
        <w:spacing w:after="40"/>
        <w:jc w:val="center"/>
      </w:pPr>
      <w:r>
        <w:rPr>
          <w:i/>
          <w:iCs/>
          <w:color w:val="888888"/>
          <w:sz w:val="22"/>
          <w:szCs w:val="22"/>
        </w:rPr>
        <w:t xml:space="preserve">Digital Banking Backend + Ops Automation — Capstone (n8n)</w:t>
      </w:r>
    </w:p>
    <w:p>
      <w:pPr>
        <w:jc w:val="center"/>
      </w:pPr>
      <w:r>
        <w:rPr>
          <w:color w:val="888888"/>
          <w:sz w:val="20"/>
          <w:szCs w:val="20"/>
        </w:rPr>
        <w:t xml:space="preserve">Prepared by: Ansari  |  University of Agriculture Faisalabad  |  Hackathon Build</w:t>
      </w:r>
    </w:p>
    <w:p>
      <w:pPr>
        <w:pageBreakBefore/>
      </w:pPr>
    </w:p>
    <w:p>
      <w:pPr>
        <w:pStyle w:val="Heading1"/>
        <w:spacing w:after="150" w:before="300"/>
      </w:pPr>
      <w:r>
        <w:t xml:space="preserve">1. Architecture Overview</w:t>
      </w:r>
    </w:p>
    <w:p>
      <w:pPr>
        <w:spacing w:after="120"/>
      </w:pPr>
      <w:r>
        <w:t xml:space="preserve">Postgres is the single ledger of truth for all account and transaction state. Pinecone holds a semantic index of policy documents and historical fraud-pattern cases. n8n orchestrates eight workflow branches (A–H, below), calling Python for interest/fraud/reconciliation computation and Groq (via native LangChain nodes) for classification and grounded drafting. Gmail is the ONLY customer-facing channel — this is a compulsory constraint set by the course instructor: every customer input is read from an inbound Gmail message (trigger or reply-parsing), and every customer-facing output is sent as a Gmail message. Internal operations/staff decisions (releasing a fraud hold, approving a support draft) are the one exception and remain plain webhooks, since ops staff are not "the customer" the constraint targets — they act through an internal tool, not email.</w:t>
      </w:r>
    </w:p>
    <w:p>
      <w:pPr>
        <w:pStyle w:val="Heading2"/>
        <w:spacing w:after="120" w:before="240"/>
      </w:pPr>
      <w:r>
        <w:t xml:space="preserve">Data flow (high level)</w:t>
      </w:r>
    </w:p>
    <w:p>
      <w:pPr>
        <w:pStyle w:val="ListParagraph"/>
        <w:numPr>
          <w:ilvl w:val="0"/>
          <w:numId w:val="2"/>
        </w:numPr>
        <w:spacing w:after="60"/>
      </w:pPr>
      <w:r>
        <w:t xml:space="preserve">Trigger (Cron / Webhook / Gmail) → Postgres read (locked where balance-affecting) → business logic (n8n Code node or Python service) → Postgres write (transactional) → notification (Gmail) → audit_log insert.</w:t>
      </w:r>
    </w:p>
    <w:p>
      <w:pPr>
        <w:pStyle w:val="ListParagraph"/>
        <w:numPr>
          <w:ilvl w:val="0"/>
          <w:numId w:val="2"/>
        </w:numPr>
        <w:spacing w:after="60"/>
      </w:pPr>
      <w:r>
        <w:t xml:space="preserve">RAG-specific: Gmail trigger → Groq intent classification → Postgres account context → Pinecone retrieval (score-filtered) → Groq grounded drafting → hallucination guardrail → Gmail draft (not send) → approval_queue → human decision webhook → conditional send.</w:t>
      </w:r>
    </w:p>
    <w:p>
      <w:pPr>
        <w:pStyle w:val="Heading1"/>
        <w:spacing w:after="150" w:before="300"/>
      </w:pPr>
      <w:r>
        <w:t xml:space="preserve">2. Database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0D0D0D" w:val="clear"/>
          </w:tcPr>
          <w:p>
            <w:r>
              <w:rPr>
                <w:b/>
                <w:bCs/>
                <w:color w:val="FFFFFF"/>
                <w:sz w:val="18"/>
                <w:szCs w:val="18"/>
              </w:rPr>
              <w:t xml:space="preserve">Table</w:t>
            </w:r>
          </w:p>
        </w:tc>
        <w:tc>
          <w:tcPr>
            <w:tcW w:type="dxa" w:w="6600"/>
            <w:shd w:fill="0D0D0D" w:val="clear"/>
          </w:tcPr>
          <w:p>
            <w:r>
              <w:rPr>
                <w:b/>
                <w:bCs/>
                <w:color w:val="FFFFFF"/>
                <w:sz w:val="18"/>
                <w:szCs w:val="18"/>
              </w:rPr>
              <w:t xml:space="preserve">Key Columns</w:t>
            </w:r>
          </w:p>
        </w:tc>
      </w:tr>
      <w:tr>
        <w:tc>
          <w:tcPr>
            <w:tcW w:type="dxa" w:w="2400"/>
          </w:tcPr>
          <w:p>
            <w:r>
              <w:rPr>
                <w:b w:val="false"/>
                <w:bCs w:val="false"/>
                <w:color w:val="000000"/>
                <w:sz w:val="18"/>
                <w:szCs w:val="18"/>
              </w:rPr>
              <w:t xml:space="preserve">accounts</w:t>
            </w:r>
          </w:p>
        </w:tc>
        <w:tc>
          <w:tcPr>
            <w:tcW w:type="dxa" w:w="6600"/>
          </w:tcPr>
          <w:p>
            <w:r>
              <w:rPr>
                <w:b w:val="false"/>
                <w:bCs w:val="false"/>
                <w:color w:val="000000"/>
                <w:sz w:val="18"/>
                <w:szCs w:val="18"/>
              </w:rPr>
              <w:t xml:space="preserve">id, type (single/joint/minor), holders[], balance, reported_balance, on_hold, created_at</w:t>
            </w:r>
          </w:p>
        </w:tc>
      </w:tr>
      <w:tr>
        <w:tc>
          <w:tcPr>
            <w:tcW w:type="dxa" w:w="2400"/>
          </w:tcPr>
          <w:p>
            <w:r>
              <w:rPr>
                <w:b w:val="false"/>
                <w:bCs w:val="false"/>
                <w:color w:val="000000"/>
                <w:sz w:val="18"/>
                <w:szCs w:val="18"/>
              </w:rPr>
              <w:t xml:space="preserve">account_holders</w:t>
            </w:r>
          </w:p>
        </w:tc>
        <w:tc>
          <w:tcPr>
            <w:tcW w:type="dxa" w:w="6600"/>
          </w:tcPr>
          <w:p>
            <w:r>
              <w:rPr>
                <w:b w:val="false"/>
                <w:bCs w:val="false"/>
                <w:color w:val="000000"/>
                <w:sz w:val="18"/>
                <w:szCs w:val="18"/>
              </w:rPr>
              <w:t xml:space="preserve">account_id, user_id, role (primary/guardian/minor/joint), authority_model</w:t>
            </w:r>
          </w:p>
        </w:tc>
      </w:tr>
      <w:tr>
        <w:tc>
          <w:tcPr>
            <w:tcW w:type="dxa" w:w="2400"/>
          </w:tcPr>
          <w:p>
            <w:r>
              <w:rPr>
                <w:b w:val="false"/>
                <w:bCs w:val="false"/>
                <w:color w:val="000000"/>
                <w:sz w:val="18"/>
                <w:szCs w:val="18"/>
              </w:rPr>
              <w:t xml:space="preserve">transactions</w:t>
            </w:r>
          </w:p>
        </w:tc>
        <w:tc>
          <w:tcPr>
            <w:tcW w:type="dxa" w:w="6600"/>
          </w:tcPr>
          <w:p>
            <w:r>
              <w:rPr>
                <w:b w:val="false"/>
                <w:bCs w:val="false"/>
                <w:color w:val="000000"/>
                <w:sz w:val="18"/>
                <w:szCs w:val="18"/>
              </w:rPr>
              <w:t xml:space="preserve">id, idempotency_key (unique), account_id, amount, type, status, created_at</w:t>
            </w:r>
          </w:p>
        </w:tc>
      </w:tr>
      <w:tr>
        <w:tc>
          <w:tcPr>
            <w:tcW w:type="dxa" w:w="2400"/>
          </w:tcPr>
          <w:p>
            <w:r>
              <w:rPr>
                <w:b w:val="false"/>
                <w:bCs w:val="false"/>
                <w:color w:val="000000"/>
                <w:sz w:val="18"/>
                <w:szCs w:val="18"/>
              </w:rPr>
              <w:t xml:space="preserve">standing_orders</w:t>
            </w:r>
          </w:p>
        </w:tc>
        <w:tc>
          <w:tcPr>
            <w:tcW w:type="dxa" w:w="6600"/>
          </w:tcPr>
          <w:p>
            <w:r>
              <w:rPr>
                <w:b w:val="false"/>
                <w:bCs w:val="false"/>
                <w:color w:val="000000"/>
                <w:sz w:val="18"/>
                <w:szCs w:val="18"/>
              </w:rPr>
              <w:t xml:space="preserve">id, account_id, payee_name, amount, next_run_date, retry_count, status</w:t>
            </w:r>
          </w:p>
        </w:tc>
      </w:tr>
      <w:tr>
        <w:tc>
          <w:tcPr>
            <w:tcW w:type="dxa" w:w="2400"/>
          </w:tcPr>
          <w:p>
            <w:r>
              <w:rPr>
                <w:b w:val="false"/>
                <w:bCs w:val="false"/>
                <w:color w:val="000000"/>
                <w:sz w:val="18"/>
                <w:szCs w:val="18"/>
              </w:rPr>
              <w:t xml:space="preserve">fraud_flags</w:t>
            </w:r>
          </w:p>
        </w:tc>
        <w:tc>
          <w:tcPr>
            <w:tcW w:type="dxa" w:w="6600"/>
          </w:tcPr>
          <w:p>
            <w:r>
              <w:rPr>
                <w:b w:val="false"/>
                <w:bCs w:val="false"/>
                <w:color w:val="000000"/>
                <w:sz w:val="18"/>
                <w:szCs w:val="18"/>
              </w:rPr>
              <w:t xml:space="preserve">id, account_id, transaction_id, score, reason, status, created_at</w:t>
            </w:r>
          </w:p>
        </w:tc>
      </w:tr>
      <w:tr>
        <w:tc>
          <w:tcPr>
            <w:tcW w:type="dxa" w:w="2400"/>
          </w:tcPr>
          <w:p>
            <w:r>
              <w:rPr>
                <w:b w:val="false"/>
                <w:bCs w:val="false"/>
                <w:color w:val="000000"/>
                <w:sz w:val="18"/>
                <w:szCs w:val="18"/>
              </w:rPr>
              <w:t xml:space="preserve">disputes</w:t>
            </w:r>
          </w:p>
        </w:tc>
        <w:tc>
          <w:tcPr>
            <w:tcW w:type="dxa" w:w="6600"/>
          </w:tcPr>
          <w:p>
            <w:r>
              <w:rPr>
                <w:b w:val="false"/>
                <w:bCs w:val="false"/>
                <w:color w:val="000000"/>
                <w:sz w:val="18"/>
                <w:szCs w:val="18"/>
              </w:rPr>
              <w:t xml:space="preserve">id, account_id, transaction_id, opened_by, resolution_status, requires_all_holders</w:t>
            </w:r>
          </w:p>
        </w:tc>
      </w:tr>
      <w:tr>
        <w:tc>
          <w:tcPr>
            <w:tcW w:type="dxa" w:w="2400"/>
          </w:tcPr>
          <w:p>
            <w:r>
              <w:rPr>
                <w:b w:val="false"/>
                <w:bCs w:val="false"/>
                <w:color w:val="000000"/>
                <w:sz w:val="18"/>
                <w:szCs w:val="18"/>
              </w:rPr>
              <w:t xml:space="preserve">approval_queue</w:t>
            </w:r>
          </w:p>
        </w:tc>
        <w:tc>
          <w:tcPr>
            <w:tcW w:type="dxa" w:w="6600"/>
          </w:tcPr>
          <w:p>
            <w:r>
              <w:rPr>
                <w:b w:val="false"/>
                <w:bCs w:val="false"/>
                <w:color w:val="000000"/>
                <w:sz w:val="18"/>
                <w:szCs w:val="18"/>
              </w:rPr>
              <w:t xml:space="preserve">id, type, draft_id/payload, account_id, needs_human, status, created_at</w:t>
            </w:r>
          </w:p>
        </w:tc>
      </w:tr>
      <w:tr>
        <w:tc>
          <w:tcPr>
            <w:tcW w:type="dxa" w:w="2400"/>
          </w:tcPr>
          <w:p>
            <w:r>
              <w:rPr>
                <w:b w:val="false"/>
                <w:bCs w:val="false"/>
                <w:color w:val="000000"/>
                <w:sz w:val="18"/>
                <w:szCs w:val="18"/>
              </w:rPr>
              <w:t xml:space="preserve">audit_log</w:t>
            </w:r>
          </w:p>
        </w:tc>
        <w:tc>
          <w:tcPr>
            <w:tcW w:type="dxa" w:w="6600"/>
          </w:tcPr>
          <w:p>
            <w:r>
              <w:rPr>
                <w:b w:val="false"/>
                <w:bCs w:val="false"/>
                <w:color w:val="000000"/>
                <w:sz w:val="18"/>
                <w:szCs w:val="18"/>
              </w:rPr>
              <w:t xml:space="preserve">id, event_type, account_id, details (jsonb), created_at</w:t>
            </w:r>
          </w:p>
        </w:tc>
      </w:tr>
      <w:tr>
        <w:tc>
          <w:tcPr>
            <w:tcW w:type="dxa" w:w="2400"/>
          </w:tcPr>
          <w:p>
            <w:r>
              <w:rPr>
                <w:b w:val="false"/>
                <w:bCs w:val="false"/>
                <w:color w:val="000000"/>
                <w:sz w:val="18"/>
                <w:szCs w:val="18"/>
              </w:rPr>
              <w:t xml:space="preserve">autonomy_rules</w:t>
            </w:r>
          </w:p>
        </w:tc>
        <w:tc>
          <w:tcPr>
            <w:tcW w:type="dxa" w:w="6600"/>
          </w:tcPr>
          <w:p>
            <w:r>
              <w:rPr>
                <w:b w:val="false"/>
                <w:bCs w:val="false"/>
                <w:color w:val="000000"/>
                <w:sz w:val="18"/>
                <w:szCs w:val="18"/>
              </w:rPr>
              <w:t xml:space="preserve">action_type (unique), requires_human (bool) — seeded per the autonomy matrix, enforced in-workflow</w:t>
            </w:r>
          </w:p>
        </w:tc>
      </w:tr>
    </w:tbl>
    <w:p>
      <w:pPr>
        <w:pStyle w:val="Heading1"/>
        <w:spacing w:after="150" w:before="300"/>
      </w:pPr>
      <w:r>
        <w:t xml:space="preserve">3. n8n Workflow — Branch Breakdown</w:t>
      </w:r>
    </w:p>
    <w:p>
      <w:pPr>
        <w:spacing w:after="120"/>
      </w:pPr>
      <w:r>
        <w:t xml:space="preserve">Delivered as a single importable JSON file (banking_ops_automation.json) with eight independently-triggered branches (A–H) on one canvas:</w:t>
      </w:r>
    </w:p>
    <w:p>
      <w:pPr>
        <w:pStyle w:val="Heading2"/>
        <w:spacing w:after="120" w:before="240"/>
      </w:pPr>
      <w:r>
        <w:t xml:space="preserve">Branch A — Nightly Reconciliation</w:t>
      </w:r>
    </w:p>
    <w:p>
      <w:pPr>
        <w:pStyle w:val="ListParagraph"/>
        <w:numPr>
          <w:ilvl w:val="0"/>
          <w:numId w:val="2"/>
        </w:numPr>
        <w:spacing w:after="60"/>
      </w:pPr>
      <w:r>
        <w:t xml:space="preserve">Cron (2 AM) → sum ledger per account (Postgres) + get reported balances (Postgres) → Merge on account_id → HTTP Request to the Python /reconciliation-check service (per account: ledger_sum + reported_balance in, mismatch + difference back) → Code node filters accounts where mismatch=true → If mismatches → ops alert email + audit log; else clean audit log.</w:t>
      </w:r>
    </w:p>
    <w:p>
      <w:pPr>
        <w:pStyle w:val="Heading2"/>
        <w:spacing w:after="120" w:before="240"/>
      </w:pPr>
      <w:r>
        <w:t xml:space="preserve">Branch B — Standing Order Scheduler</w:t>
      </w:r>
    </w:p>
    <w:p>
      <w:pPr>
        <w:pStyle w:val="ListParagraph"/>
        <w:numPr>
          <w:ilvl w:val="0"/>
          <w:numId w:val="2"/>
        </w:numPr>
        <w:spacing w:after="60"/>
      </w:pPr>
      <w:r>
        <w:t xml:space="preserve">Hourly Cron → get due orders (FOR UPDATE SKIP LOCKED) → weekend/holiday adjustment → lock &amp; check balance → If sufficient: idempotent insert transfer + advance next_run_date. If insufficient: If retry_count &lt; 3, schedule next-day retry, else mark permanently failed + notify customer.</w:t>
      </w:r>
    </w:p>
    <w:p>
      <w:pPr>
        <w:pStyle w:val="Heading2"/>
        <w:spacing w:after="120" w:before="240"/>
      </w:pPr>
      <w:r>
        <w:t xml:space="preserve">Branch C — Fraud Flag Handling</w:t>
      </w:r>
    </w:p>
    <w:p>
      <w:pPr>
        <w:pStyle w:val="ListParagraph"/>
        <w:numPr>
          <w:ilvl w:val="0"/>
          <w:numId w:val="2"/>
        </w:numPr>
        <w:spacing w:after="60"/>
      </w:pPr>
      <w:r>
        <w:t xml:space="preserve">Webhook (from Python fraud-scoring service) → insert fraud_flags row + set accounts.on_hold=true (single transaction) → insert approval_queue item → notify customer of hold → separate ops-decision webhook → If approved: release hold; else: confirm fraud, keep hold.</w:t>
      </w:r>
    </w:p>
    <w:p>
      <w:pPr>
        <w:pStyle w:val="Heading2"/>
        <w:spacing w:after="120" w:before="240"/>
      </w:pPr>
      <w:r>
        <w:t xml:space="preserve">Branch D — RAG Customer Support</w:t>
      </w:r>
    </w:p>
    <w:p>
      <w:pPr>
        <w:pStyle w:val="ListParagraph"/>
        <w:numPr>
          <w:ilvl w:val="0"/>
          <w:numId w:val="2"/>
        </w:numPr>
        <w:spacing w:after="60"/>
      </w:pPr>
      <w:r>
        <w:t xml:space="preserve">Gmail trigger → Groq intent classification (llama-3.3-70b-versatile, temperature 0) → pull account + transaction history (Postgres) → Pinecone retrieval (top-5) → similarity threshold guard (discard &lt; 0.75) → Groq grounded drafting (must cite policy_id or return NO_CONFIDENT_ANSWER) → hallucination guardrail Code node (forces human path on missing citation, FRAUD_DISPUTE/JOINT_ACCOUNT intent, or on_hold=true) → Gmail draft creation (never auto-send) → approval_queue insert → human decision webhook → If approved: send + audit log; else: audit log rejection only.</w:t>
      </w:r>
    </w:p>
    <w:p>
      <w:pPr>
        <w:pStyle w:val="Heading2"/>
        <w:spacing w:after="120" w:before="240"/>
      </w:pPr>
      <w:r>
        <w:t xml:space="preserve">Branch E — Joint Account Authorization + Dispute Flow</w:t>
      </w:r>
    </w:p>
    <w:p>
      <w:pPr>
        <w:pStyle w:val="ListParagraph"/>
        <w:numPr>
          <w:ilvl w:val="0"/>
          <w:numId w:val="2"/>
        </w:numPr>
        <w:spacing w:after="60"/>
      </w:pPr>
      <w:r>
        <w:t xml:space="preserve">E1 (Authorization): Webhook receives any joint-account action request (transfer / remove_holder / close_account) → pulls account + holders + authority_model → Switch on action_type.</w:t>
      </w:r>
    </w:p>
    <w:p>
      <w:pPr>
        <w:pStyle w:val="ListParagraph"/>
        <w:numPr>
          <w:ilvl w:val="0"/>
          <w:numId w:val="2"/>
        </w:numPr>
        <w:spacing w:after="60"/>
      </w:pPr>
      <w:r>
        <w:t xml:space="preserve">Transfer sub-path: If authority_model = either-or, transaction executes immediately (idempotent insert). If both-signature, the other holder is emailed for co-signature; a Gmail Trigger reads their APPROVE/DECLINE reply, which either executes or logs a declined co-sign.</w:t>
      </w:r>
    </w:p>
    <w:p>
      <w:pPr>
        <w:pStyle w:val="ListParagraph"/>
        <w:numPr>
          <w:ilvl w:val="0"/>
          <w:numId w:val="2"/>
        </w:numPr>
        <w:spacing w:after="60"/>
      </w:pPr>
      <w:r>
        <w:t xml:space="preserve">Remove-holder sub-path: Code node computes votes_required — for 2-holder accounts this equals mutual consent (both must approve); for 3+ holder accounts it's a majority (floor(other_holders/2)+1). Other holders are emailed to vote; a Gmail Trigger parses each reply into a vote and a quorum check runs before deleting the holder row.</w:t>
      </w:r>
    </w:p>
    <w:p>
      <w:pPr>
        <w:pStyle w:val="ListParagraph"/>
        <w:numPr>
          <w:ilvl w:val="0"/>
          <w:numId w:val="2"/>
        </w:numPr>
        <w:spacing w:after="60"/>
      </w:pPr>
      <w:r>
        <w:t xml:space="preserve">Close-account sub-path: closure only executes on a unanimous approve_count = holder_count; any disagreement sets accounts.frozen = true (never auto-closes) and notifies all holders.</w:t>
      </w:r>
    </w:p>
    <w:p>
      <w:pPr>
        <w:pStyle w:val="ListParagraph"/>
        <w:numPr>
          <w:ilvl w:val="0"/>
          <w:numId w:val="2"/>
        </w:numPr>
        <w:spacing w:after="60"/>
      </w:pPr>
      <w:r>
        <w:t xml:space="preserve">E2 (Dispute): any single holder can open a dispute via webhook, which inserts a disputes row. If the account is joint, all holders are emailed for input and a Gmail Trigger collects each reply; resolution only finalizes once inputs_received &gt;= holder_count. Single-holder accounts resolve immediately without waiting on co-holder input.</w:t>
      </w:r>
    </w:p>
    <w:p>
      <w:pPr>
        <w:pStyle w:val="Heading2"/>
        <w:spacing w:after="120" w:before="240"/>
      </w:pPr>
      <w:r>
        <w:t xml:space="preserve">Branch F — Minor/Guardian Permissions + Age Trigger + Add-Holder-With-Debt</w:t>
      </w:r>
    </w:p>
    <w:p>
      <w:pPr>
        <w:pStyle w:val="ListParagraph"/>
        <w:numPr>
          <w:ilvl w:val="0"/>
          <w:numId w:val="2"/>
        </w:numPr>
        <w:spacing w:after="60"/>
      </w:pPr>
      <w:r>
        <w:t xml:space="preserve">Permission gate: webhook checks the requester's role on the account — guardian may execute write actions (transfers/management), minor is restricted to view-only; any write attempt by a minor is rejected and logged to audit_log rather than silently ignored.</w:t>
      </w:r>
    </w:p>
    <w:p>
      <w:pPr>
        <w:pStyle w:val="ListParagraph"/>
        <w:numPr>
          <w:ilvl w:val="0"/>
          <w:numId w:val="2"/>
        </w:numPr>
        <w:spacing w:after="60"/>
      </w:pPr>
      <w:r>
        <w:t xml:space="preserve">Age trigger: a daily cron finds minors turning 18 in exactly 30 days (guardian gets an advance-notice email) and minors turning 18 today (account.type flips to full access, holder role updates from minor to primary, both parties notified).</w:t>
      </w:r>
    </w:p>
    <w:p>
      <w:pPr>
        <w:pStyle w:val="ListParagraph"/>
        <w:numPr>
          <w:ilvl w:val="0"/>
          <w:numId w:val="2"/>
        </w:numPr>
        <w:spacing w:after="60"/>
      </w:pPr>
      <w:r>
        <w:t xml:space="preserve">Add-holder-with-debt: webhook checks on_hold / existing debt before adding a holder. If debt exists, the new holder must acknowledge via a Gmail reply before being added, and their liability starts from their join date only — past debt is never retroactively assigned. No debt → holder is added directly.</w:t>
      </w:r>
    </w:p>
    <w:p>
      <w:pPr>
        <w:pStyle w:val="Heading2"/>
        <w:spacing w:after="120" w:before="240"/>
      </w:pPr>
      <w:r>
        <w:t xml:space="preserve">Branch G — Account Creation (CRUD)</w:t>
      </w:r>
    </w:p>
    <w:p>
      <w:pPr>
        <w:pStyle w:val="ListParagraph"/>
        <w:numPr>
          <w:ilvl w:val="0"/>
          <w:numId w:val="2"/>
        </w:numPr>
        <w:spacing w:after="60"/>
      </w:pPr>
      <w:r>
        <w:t xml:space="preserve">Single-holder: webhook → insert accounts row → insert the one account_holders row as primary.</w:t>
      </w:r>
    </w:p>
    <w:p>
      <w:pPr>
        <w:pStyle w:val="ListParagraph"/>
        <w:numPr>
          <w:ilvl w:val="0"/>
          <w:numId w:val="2"/>
        </w:numPr>
        <w:spacing w:after="60"/>
      </w:pPr>
      <w:r>
        <w:t xml:space="preserve">Joint (2+): webhook → insert accounts row with the chosen authority_model → Split-In-Batches over the holder list → insert one account_holders row per holder.</w:t>
      </w:r>
    </w:p>
    <w:p>
      <w:pPr>
        <w:pStyle w:val="Heading2"/>
        <w:spacing w:after="120" w:before="240"/>
      </w:pPr>
      <w:r>
        <w:t xml:space="preserve">Branch H — Two-Leg Transfer With Real Rollback + Chargeback/Debt Tracking</w:t>
      </w:r>
    </w:p>
    <w:p>
      <w:pPr>
        <w:pStyle w:val="ListParagraph"/>
        <w:numPr>
          <w:ilvl w:val="0"/>
          <w:numId w:val="2"/>
        </w:numPr>
        <w:spacing w:after="60"/>
      </w:pPr>
      <w:r>
        <w:t xml:space="preserve">P2P transfer: BEGIN + row-locked debit on the sender; if the debit itself fails (insufficient funds) the transaction is rolled back and the sender is notified with zero side effects. If debit succeeds, the receiver is credited; if that credit fails, the debit is explicitly reversed before ROLLBACK and the sender is told the transfer was rolled back. Only when both legs succeed does the workflow COMMIT and record the settled transaction.</w:t>
      </w:r>
    </w:p>
    <w:p>
      <w:pPr>
        <w:pStyle w:val="ListParagraph"/>
        <w:numPr>
          <w:ilvl w:val="0"/>
          <w:numId w:val="2"/>
        </w:numPr>
        <w:spacing w:after="60"/>
      </w:pPr>
      <w:r>
        <w:t xml:space="preserve">Chargeback event: inserts a debt-type transaction row (tracking the negative balance created by funds already spent) plus a repayment_plan entry in approval_queue, and notifies the customer of both the debt and the plan.</w:t>
      </w:r>
    </w:p>
    <w:p>
      <w:pPr>
        <w:pStyle w:val="Heading2"/>
        <w:spacing w:after="120" w:before="240"/>
      </w:pPr>
      <w:r>
        <w:t xml:space="preserve">Code-Level Autonomy Enforcement</w:t>
      </w:r>
    </w:p>
    <w:p>
      <w:pPr>
        <w:pStyle w:val="ListParagraph"/>
        <w:numPr>
          <w:ilvl w:val="0"/>
          <w:numId w:val="2"/>
        </w:numPr>
        <w:spacing w:after="60"/>
      </w:pPr>
      <w:r>
        <w:t xml:space="preserve">Rather than leaving the autonomy matrix as documentation only, the two highest-risk actions — fraud-hold release and RAG-reply send — each pass through a Postgres lookup against autonomy_rules followed by a Code node that throws (hard-fails the execution) if requires_human is true and no authenticated human actor (ops_user_id / approver_user_id) is present on the payload. This turns items #26/#27 from a written policy into an enforced runtime check.</w:t>
      </w:r>
    </w:p>
    <w:p>
      <w:pPr>
        <w:pStyle w:val="Heading2"/>
        <w:spacing w:after="120" w:before="240"/>
      </w:pPr>
      <w:r>
        <w:t xml:space="preserve">Gmail-Only Customer Channel — Enforcement Detail</w:t>
      </w:r>
    </w:p>
    <w:p>
      <w:pPr>
        <w:pStyle w:val="ListParagraph"/>
        <w:numPr>
          <w:ilvl w:val="0"/>
          <w:numId w:val="2"/>
        </w:numPr>
        <w:spacing w:after="60"/>
      </w:pPr>
      <w:r>
        <w:t xml:space="preserve">Co-signature response (both-signature transfers): Gmail Trigger watches for replies on the co-signature request thread; a Code node parses APPROVE/DECLINE from the email body.</w:t>
      </w:r>
    </w:p>
    <w:p>
      <w:pPr>
        <w:pStyle w:val="ListParagraph"/>
        <w:numPr>
          <w:ilvl w:val="0"/>
          <w:numId w:val="2"/>
        </w:numPr>
        <w:spacing w:after="60"/>
      </w:pPr>
      <w:r>
        <w:t xml:space="preserve">Holder-removal vote: Gmail Trigger + Code node parses each holder's reply into an approve/reject vote.</w:t>
      </w:r>
    </w:p>
    <w:p>
      <w:pPr>
        <w:pStyle w:val="ListParagraph"/>
        <w:numPr>
          <w:ilvl w:val="0"/>
          <w:numId w:val="2"/>
        </w:numPr>
        <w:spacing w:after="60"/>
      </w:pPr>
      <w:r>
        <w:t xml:space="preserve">Add-holder debt acknowledgement: Gmail Trigger + Code node parses CONFIRM / I ACKNOWLEDGE from the new holder's reply before they're added.</w:t>
      </w:r>
    </w:p>
    <w:p>
      <w:pPr>
        <w:pStyle w:val="ListParagraph"/>
        <w:numPr>
          <w:ilvl w:val="0"/>
          <w:numId w:val="2"/>
        </w:numPr>
        <w:spacing w:after="60"/>
      </w:pPr>
      <w:r>
        <w:t xml:space="preserve">Dispute holder input: Gmail Trigger + Code node captures each holder's reply text and increments the inputs_received counter used by Branch E2's quorum check.</w:t>
      </w:r>
    </w:p>
    <w:p>
      <w:pPr>
        <w:pStyle w:val="ListParagraph"/>
        <w:numPr>
          <w:ilvl w:val="0"/>
          <w:numId w:val="2"/>
        </w:numPr>
        <w:spacing w:after="60"/>
      </w:pPr>
      <w:r>
        <w:t xml:space="preserve">Fraud false-positive self-attestation: a new Gmail Trigger watches replies to the hold-notification email; the customer's claim is logged to approval_queue and ops is emailed to review — the claim itself never auto-releases the hold, matching the original false-positive decision.</w:t>
      </w:r>
    </w:p>
    <w:p>
      <w:pPr>
        <w:pStyle w:val="ListParagraph"/>
        <w:numPr>
          <w:ilvl w:val="0"/>
          <w:numId w:val="2"/>
        </w:numPr>
        <w:spacing w:after="60"/>
      </w:pPr>
      <w:r>
        <w:t xml:space="preserve">Webhook nodes are retained only for system-to-system events with no human-customer origin (Python fraud-score POST, ops decision submission from an internal tool) — n8n trigger nodes cannot accept an incoming connection from another node, so ops decisions are intentionally left as their own independent webhook rather than chained from the notification node.</w:t>
      </w:r>
    </w:p>
    <w:p>
      <w:pPr>
        <w:pStyle w:val="Heading1"/>
        <w:spacing w:after="150" w:before="300"/>
      </w:pPr>
      <w:r>
        <w:t xml:space="preserve">4. Approval &amp; Autonomy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D0D0D" w:val="clear"/>
          </w:tcPr>
          <w:p>
            <w:r>
              <w:rPr>
                <w:b/>
                <w:bCs/>
                <w:color w:val="FFFFFF"/>
                <w:sz w:val="18"/>
                <w:szCs w:val="18"/>
              </w:rPr>
              <w:t xml:space="preserve">Action</w:t>
            </w:r>
          </w:p>
        </w:tc>
        <w:tc>
          <w:tcPr>
            <w:tcW w:type="dxa" w:w="4500"/>
            <w:shd w:fill="0D0D0D" w:val="clear"/>
          </w:tcPr>
          <w:p>
            <w:r>
              <w:rPr>
                <w:b/>
                <w:bCs/>
                <w:color w:val="FFFFFF"/>
                <w:sz w:val="18"/>
                <w:szCs w:val="18"/>
              </w:rPr>
              <w:t xml:space="preserve">Autonomy Level</w:t>
            </w:r>
          </w:p>
        </w:tc>
      </w:tr>
      <w:tr>
        <w:tc>
          <w:tcPr>
            <w:tcW w:type="dxa" w:w="4500"/>
          </w:tcPr>
          <w:p>
            <w:r>
              <w:rPr>
                <w:b w:val="false"/>
                <w:bCs w:val="false"/>
                <w:color w:val="000000"/>
                <w:sz w:val="18"/>
                <w:szCs w:val="18"/>
              </w:rPr>
              <w:t xml:space="preserve">Sending account statements</w:t>
            </w:r>
          </w:p>
        </w:tc>
        <w:tc>
          <w:tcPr>
            <w:tcW w:type="dxa" w:w="4500"/>
          </w:tcPr>
          <w:p>
            <w:r>
              <w:rPr>
                <w:b w:val="false"/>
                <w:bCs w:val="false"/>
                <w:color w:val="000000"/>
                <w:sz w:val="18"/>
                <w:szCs w:val="18"/>
              </w:rPr>
              <w:t xml:space="preserve">Automation may do this unsupervised</w:t>
            </w:r>
          </w:p>
        </w:tc>
      </w:tr>
      <w:tr>
        <w:tc>
          <w:tcPr>
            <w:tcW w:type="dxa" w:w="4500"/>
          </w:tcPr>
          <w:p>
            <w:r>
              <w:rPr>
                <w:b w:val="false"/>
                <w:bCs w:val="false"/>
                <w:color w:val="000000"/>
                <w:sz w:val="18"/>
                <w:szCs w:val="18"/>
              </w:rPr>
              <w:t xml:space="preserve">Standing order execution (funds sufficient)</w:t>
            </w:r>
          </w:p>
        </w:tc>
        <w:tc>
          <w:tcPr>
            <w:tcW w:type="dxa" w:w="4500"/>
          </w:tcPr>
          <w:p>
            <w:r>
              <w:rPr>
                <w:b w:val="false"/>
                <w:bCs w:val="false"/>
                <w:color w:val="000000"/>
                <w:sz w:val="18"/>
                <w:szCs w:val="18"/>
              </w:rPr>
              <w:t xml:space="preserve">Automation may do this unsupervised</w:t>
            </w:r>
          </w:p>
        </w:tc>
      </w:tr>
      <w:tr>
        <w:tc>
          <w:tcPr>
            <w:tcW w:type="dxa" w:w="4500"/>
          </w:tcPr>
          <w:p>
            <w:r>
              <w:rPr>
                <w:b w:val="false"/>
                <w:bCs w:val="false"/>
                <w:color w:val="000000"/>
                <w:sz w:val="18"/>
                <w:szCs w:val="18"/>
              </w:rPr>
              <w:t xml:space="preserve">Reconciliation mismatch detection &amp; ops alert email</w:t>
            </w:r>
          </w:p>
        </w:tc>
        <w:tc>
          <w:tcPr>
            <w:tcW w:type="dxa" w:w="4500"/>
          </w:tcPr>
          <w:p>
            <w:r>
              <w:rPr>
                <w:b w:val="false"/>
                <w:bCs w:val="false"/>
                <w:color w:val="000000"/>
                <w:sz w:val="18"/>
                <w:szCs w:val="18"/>
              </w:rPr>
              <w:t xml:space="preserve">Automation may do this unsupervised</w:t>
            </w:r>
          </w:p>
        </w:tc>
      </w:tr>
      <w:tr>
        <w:tc>
          <w:tcPr>
            <w:tcW w:type="dxa" w:w="4500"/>
          </w:tcPr>
          <w:p>
            <w:r>
              <w:rPr>
                <w:b w:val="false"/>
                <w:bCs w:val="false"/>
                <w:color w:val="000000"/>
                <w:sz w:val="18"/>
                <w:szCs w:val="18"/>
              </w:rPr>
              <w:t xml:space="preserve">Fraud-hold trigger (placing the hold)</w:t>
            </w:r>
          </w:p>
        </w:tc>
        <w:tc>
          <w:tcPr>
            <w:tcW w:type="dxa" w:w="4500"/>
          </w:tcPr>
          <w:p>
            <w:r>
              <w:rPr>
                <w:b w:val="false"/>
                <w:bCs w:val="false"/>
                <w:color w:val="000000"/>
                <w:sz w:val="18"/>
                <w:szCs w:val="18"/>
              </w:rPr>
              <w:t xml:space="preserve">Automation may do this unsupervised — speed matters</w:t>
            </w:r>
          </w:p>
        </w:tc>
      </w:tr>
      <w:tr>
        <w:tc>
          <w:tcPr>
            <w:tcW w:type="dxa" w:w="4500"/>
          </w:tcPr>
          <w:p>
            <w:r>
              <w:rPr>
                <w:b w:val="false"/>
                <w:bCs w:val="false"/>
                <w:color w:val="000000"/>
                <w:sz w:val="18"/>
                <w:szCs w:val="18"/>
              </w:rPr>
              <w:t xml:space="preserve">Fraud-hold release</w:t>
            </w:r>
          </w:p>
        </w:tc>
        <w:tc>
          <w:tcPr>
            <w:tcW w:type="dxa" w:w="4500"/>
          </w:tcPr>
          <w:p>
            <w:r>
              <w:rPr>
                <w:b w:val="false"/>
                <w:bCs w:val="false"/>
                <w:color w:val="000000"/>
                <w:sz w:val="18"/>
                <w:szCs w:val="18"/>
              </w:rPr>
              <w:t xml:space="preserve">Always requires human sign-off</w:t>
            </w:r>
          </w:p>
        </w:tc>
      </w:tr>
      <w:tr>
        <w:tc>
          <w:tcPr>
            <w:tcW w:type="dxa" w:w="4500"/>
          </w:tcPr>
          <w:p>
            <w:r>
              <w:rPr>
                <w:b w:val="false"/>
                <w:bCs w:val="false"/>
                <w:color w:val="000000"/>
                <w:sz w:val="18"/>
                <w:szCs w:val="18"/>
              </w:rPr>
              <w:t xml:space="preserve">Any RAG-drafted customer reply send</w:t>
            </w:r>
          </w:p>
        </w:tc>
        <w:tc>
          <w:tcPr>
            <w:tcW w:type="dxa" w:w="4500"/>
          </w:tcPr>
          <w:p>
            <w:r>
              <w:rPr>
                <w:b w:val="false"/>
                <w:bCs w:val="false"/>
                <w:color w:val="000000"/>
                <w:sz w:val="18"/>
                <w:szCs w:val="18"/>
              </w:rPr>
              <w:t xml:space="preserve">Always requires human sign-off</w:t>
            </w:r>
          </w:p>
        </w:tc>
      </w:tr>
      <w:tr>
        <w:tc>
          <w:tcPr>
            <w:tcW w:type="dxa" w:w="4500"/>
          </w:tcPr>
          <w:p>
            <w:r>
              <w:rPr>
                <w:b w:val="false"/>
                <w:bCs w:val="false"/>
                <w:color w:val="000000"/>
                <w:sz w:val="18"/>
                <w:szCs w:val="18"/>
              </w:rPr>
              <w:t xml:space="preserve">Reversal / chargeback processing</w:t>
            </w:r>
          </w:p>
        </w:tc>
        <w:tc>
          <w:tcPr>
            <w:tcW w:type="dxa" w:w="4500"/>
          </w:tcPr>
          <w:p>
            <w:r>
              <w:rPr>
                <w:b w:val="false"/>
                <w:bCs w:val="false"/>
                <w:color w:val="000000"/>
                <w:sz w:val="18"/>
                <w:szCs w:val="18"/>
              </w:rPr>
              <w:t xml:space="preserve">Always requires human sign-off</w:t>
            </w:r>
          </w:p>
        </w:tc>
      </w:tr>
      <w:tr>
        <w:tc>
          <w:tcPr>
            <w:tcW w:type="dxa" w:w="4500"/>
          </w:tcPr>
          <w:p>
            <w:r>
              <w:rPr>
                <w:b w:val="false"/>
                <w:bCs w:val="false"/>
                <w:color w:val="000000"/>
                <w:sz w:val="18"/>
                <w:szCs w:val="18"/>
              </w:rPr>
              <w:t xml:space="preserve">Joint account closure</w:t>
            </w:r>
          </w:p>
        </w:tc>
        <w:tc>
          <w:tcPr>
            <w:tcW w:type="dxa" w:w="4500"/>
          </w:tcPr>
          <w:p>
            <w:r>
              <w:rPr>
                <w:b w:val="false"/>
                <w:bCs w:val="false"/>
                <w:color w:val="000000"/>
                <w:sz w:val="18"/>
                <w:szCs w:val="18"/>
              </w:rPr>
              <w:t xml:space="preserve">Always requires human sign-off</w:t>
            </w:r>
          </w:p>
        </w:tc>
      </w:tr>
      <w:tr>
        <w:tc>
          <w:tcPr>
            <w:tcW w:type="dxa" w:w="4500"/>
          </w:tcPr>
          <w:p>
            <w:r>
              <w:rPr>
                <w:b w:val="false"/>
                <w:bCs w:val="false"/>
                <w:color w:val="000000"/>
                <w:sz w:val="18"/>
                <w:szCs w:val="18"/>
              </w:rPr>
              <w:t xml:space="preserve">Standing order permanent-failure notification</w:t>
            </w:r>
          </w:p>
        </w:tc>
        <w:tc>
          <w:tcPr>
            <w:tcW w:type="dxa" w:w="4500"/>
          </w:tcPr>
          <w:p>
            <w:r>
              <w:rPr>
                <w:b w:val="false"/>
                <w:bCs w:val="false"/>
                <w:color w:val="000000"/>
                <w:sz w:val="18"/>
                <w:szCs w:val="18"/>
              </w:rPr>
              <w:t xml:space="preserve">Automation may do this unsupervised — informational only, no funds moved</w:t>
            </w:r>
          </w:p>
        </w:tc>
      </w:tr>
    </w:tbl>
    <w:p>
      <w:pPr>
        <w:pStyle w:val="Heading1"/>
        <w:spacing w:after="150" w:before="300"/>
      </w:pPr>
      <w:r>
        <w:t xml:space="preserve">5. Concurrency &amp; Integrity Implementation Notes</w:t>
      </w:r>
    </w:p>
    <w:p>
      <w:pPr>
        <w:pStyle w:val="ListParagraph"/>
        <w:numPr>
          <w:ilvl w:val="0"/>
          <w:numId w:val="2"/>
        </w:numPr>
        <w:spacing w:after="60"/>
      </w:pPr>
      <w:r>
        <w:t xml:space="preserve">Idempotency: unique DB constraint on transactions.idempotency_key; conflicting inserts are no-ops that return the original row rather than erroring, matching standard payments-API behavior.</w:t>
      </w:r>
    </w:p>
    <w:p>
      <w:pPr>
        <w:pStyle w:val="ListParagraph"/>
        <w:numPr>
          <w:ilvl w:val="0"/>
          <w:numId w:val="2"/>
        </w:numPr>
        <w:spacing w:after="60"/>
      </w:pPr>
      <w:r>
        <w:t xml:space="preserve">Overdraft prevention: balance check and debit occur inside the same SELECT ... FOR UPDATE-protected transaction so no second writer can read a stale balance.</w:t>
      </w:r>
    </w:p>
    <w:p>
      <w:pPr>
        <w:pStyle w:val="ListParagraph"/>
        <w:numPr>
          <w:ilvl w:val="0"/>
          <w:numId w:val="2"/>
        </w:numPr>
        <w:spacing w:after="60"/>
      </w:pPr>
      <w:r>
        <w:t xml:space="preserve">Standing order race safety: due-order fetch uses FOR UPDATE SKIP LOCKED so an in-flight execution can't be edited/deleted mid-run; edits apply to the next scheduling cycle.</w:t>
      </w:r>
    </w:p>
    <w:p>
      <w:pPr>
        <w:pStyle w:val="ListParagraph"/>
        <w:numPr>
          <w:ilvl w:val="0"/>
          <w:numId w:val="2"/>
        </w:numPr>
        <w:spacing w:after="60"/>
      </w:pPr>
      <w:r>
        <w:t xml:space="preserve">Rollback: any multi-step transfer is wrapped in BEGIN/COMMIT with ROLLBACK on any step failure — partial application is structurally prevented, not just detected.</w:t>
      </w:r>
    </w:p>
    <w:p>
      <w:pPr>
        <w:pStyle w:val="Heading1"/>
        <w:spacing w:after="150" w:before="300"/>
      </w:pPr>
      <w:r>
        <w:t xml:space="preserve">6. RAG Guardrail Design</w:t>
      </w:r>
    </w:p>
    <w:p>
      <w:pPr>
        <w:pStyle w:val="ListParagraph"/>
        <w:numPr>
          <w:ilvl w:val="0"/>
          <w:numId w:val="2"/>
        </w:numPr>
        <w:spacing w:after="60"/>
      </w:pPr>
      <w:r>
        <w:t xml:space="preserve">Retrieval-score floor (0.75) rejects superficially-similar-but-wrong past cases before they reach the prompt.</w:t>
      </w:r>
    </w:p>
    <w:p>
      <w:pPr>
        <w:pStyle w:val="ListParagraph"/>
        <w:numPr>
          <w:ilvl w:val="0"/>
          <w:numId w:val="2"/>
        </w:numPr>
        <w:spacing w:after="60"/>
      </w:pPr>
      <w:r>
        <w:t xml:space="preserve">Drafting prompt requires an explicit policy_id citation; absence of one, or an explicit NO_CONFIDENT_ANSWER token, routes the item to the human path rather than being sent as a low-confidence guess.</w:t>
      </w:r>
    </w:p>
    <w:p>
      <w:pPr>
        <w:pStyle w:val="ListParagraph"/>
        <w:numPr>
          <w:ilvl w:val="0"/>
          <w:numId w:val="2"/>
        </w:numPr>
        <w:spacing w:after="60"/>
      </w:pPr>
      <w:r>
        <w:t xml:space="preserve">Intent-based override: FRAUD_DISPUTE and JOINT_ACCOUNT classifications always require human drafting review regardless of model confidence, since these carry the highest dispute/liability risk.</w:t>
      </w:r>
    </w:p>
    <w:p>
      <w:pPr>
        <w:pStyle w:val="Heading1"/>
        <w:spacing w:after="150" w:before="300"/>
      </w:pPr>
      <w:r>
        <w:t xml:space="preserve">7. Demo Notes</w:t>
      </w:r>
    </w:p>
    <w:p>
      <w:pPr>
        <w:pStyle w:val="ListParagraph"/>
        <w:numPr>
          <w:ilvl w:val="0"/>
          <w:numId w:val="2"/>
        </w:numPr>
        <w:spacing w:after="60"/>
      </w:pPr>
      <w:r>
        <w:t xml:space="preserve">Import banking_ops_automation.json into n8n; attach Postgres, Gmail, Pinecone, and Groq credentials per node, and set the PYTHON_SERVICE_URL environment variable to the deployed Python service’s public URL (Branch A’s HTTP Request node depends on it) before running live.</w:t>
      </w:r>
    </w:p>
    <w:p>
      <w:pPr>
        <w:pStyle w:val="ListParagraph"/>
        <w:numPr>
          <w:ilvl w:val="0"/>
          <w:numId w:val="2"/>
        </w:numPr>
        <w:spacing w:after="60"/>
      </w:pPr>
      <w:r>
        <w:t xml:space="preserve">For the hackathon walkthrough, trigger Branch C (fraud webhook) and Branch D (support email) live; show Branch A/B logic and code in the canvas without a live overnight run.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2026-09-06T16:53:39.116Z</dcterms:created>
  <dcterms:modified xsi:type="dcterms:W3CDTF">2026-09-06T16:53:39.116Z</dcterms:modified>
</cp:coreProperties>
</file>

<file path=docProps/custom.xml><?xml version="1.0" encoding="utf-8"?>
<Properties xmlns="http://schemas.openxmlformats.org/officeDocument/2006/custom-properties" xmlns:vt="http://schemas.openxmlformats.org/officeDocument/2006/docPropsVTypes"/>
</file>