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F75B5"/>
          <w:sz w:val="26"/>
        </w:rPr>
        <w:t>BTS SERVICES INFORMATIQUES</w:t>
        <w:br/>
        <w:t>AUX ORGANISATIONS</w:t>
      </w:r>
    </w:p>
    <w:p>
      <w:pPr>
        <w:pStyle w:val="Title"/>
        <w:spacing w:before="900" w:after="200"/>
        <w:jc w:val="center"/>
      </w:pPr>
      <w:r>
        <w:t>Compte rendu - TP2</w:t>
        <w:br/>
        <w:t>Planning de formation MOOC</w:t>
      </w:r>
    </w:p>
    <w:p>
      <w:pPr>
        <w:jc w:val="center"/>
      </w:pPr>
      <w:r>
        <w:rPr>
          <w:i/>
          <w:color w:val="2F75B5"/>
          <w:sz w:val="26"/>
        </w:rPr>
        <w:t>Introduction to Cybersecurity - Cisco Networking Academy</w:t>
      </w:r>
    </w:p>
    <w:tbl>
      <w:tblPr>
        <w:tblW w:type="auto" w:w="0"/>
        <w:jc w:val="center"/>
        <w:tblLayout w:type="fixed"/>
        <w:tblLook w:firstColumn="1" w:firstRow="1" w:lastColumn="0" w:lastRow="0" w:noHBand="0" w:noVBand="1" w:val="04A0"/>
      </w:tblPr>
      <w:tblGrid>
        <w:gridCol w:w="4986"/>
        <w:gridCol w:w="4986"/>
      </w:tblGrid>
      <w:tr>
        <w:tc>
          <w:tcPr>
            <w:tcW w:type="dxa" w:w="2381"/>
            <w:vAlign w:val="center"/>
            <w:shd w:fill="17365D"/>
            <w:tcBorders>
              <w:top w:val="single" w:sz="5" w:color="FFFFFF"/>
              <w:left w:val="single" w:sz="5" w:color="FFFFFF"/>
              <w:bottom w:val="single" w:sz="5" w:color="FFFFFF"/>
              <w:right w:val="single" w:sz="5" w:color="FFFFFF"/>
              <w:insideH w:val="single" w:sz="5" w:color="FFFFFF"/>
              <w:insideV w:val="single" w:sz="5" w:color="FFFFFF"/>
            </w:tcBorders>
          </w:tcPr>
          <w:p>
            <w:pPr>
              <w:spacing w:after="0"/>
            </w:pPr>
            <w:r/>
            <w:r>
              <w:rPr>
                <w:rFonts w:ascii="Aptos" w:hAnsi="Aptos"/>
                <w:b/>
                <w:color w:val="FFFFFF"/>
                <w:sz w:val="20"/>
              </w:rPr>
              <w:t>Étudiant</w:t>
            </w:r>
          </w:p>
        </w:tc>
        <w:tc>
          <w:tcPr>
            <w:tcW w:type="dxa" w:w="4819"/>
            <w:vAlign w:val="center"/>
            <w:shd w:fill="D9EAF7"/>
            <w:tcBorders>
              <w:top w:val="single" w:sz="5" w:color="FFFFFF"/>
              <w:left w:val="single" w:sz="5" w:color="FFFFFF"/>
              <w:bottom w:val="single" w:sz="5" w:color="FFFFFF"/>
              <w:right w:val="single" w:sz="5" w:color="FFFFFF"/>
              <w:insideH w:val="single" w:sz="5" w:color="FFFFFF"/>
              <w:insideV w:val="single" w:sz="5" w:color="FFFFFF"/>
            </w:tcBorders>
          </w:tcPr>
          <w:p>
            <w:pPr>
              <w:spacing w:after="0"/>
            </w:pPr>
            <w:r/>
            <w:r>
              <w:rPr>
                <w:rFonts w:ascii="Aptos" w:hAnsi="Aptos"/>
                <w:b w:val="0"/>
                <w:sz w:val="20"/>
              </w:rPr>
              <w:t>Fahad</w:t>
            </w:r>
          </w:p>
        </w:tc>
      </w:tr>
      <w:tr>
        <w:tc>
          <w:tcPr>
            <w:tcW w:type="dxa" w:w="2381"/>
            <w:vAlign w:val="center"/>
            <w:shd w:fill="17365D"/>
            <w:tcBorders>
              <w:top w:val="single" w:sz="5" w:color="FFFFFF"/>
              <w:left w:val="single" w:sz="5" w:color="FFFFFF"/>
              <w:bottom w:val="single" w:sz="5" w:color="FFFFFF"/>
              <w:right w:val="single" w:sz="5" w:color="FFFFFF"/>
              <w:insideH w:val="single" w:sz="5" w:color="FFFFFF"/>
              <w:insideV w:val="single" w:sz="5" w:color="FFFFFF"/>
            </w:tcBorders>
          </w:tcPr>
          <w:p>
            <w:pPr>
              <w:spacing w:after="0"/>
            </w:pPr>
            <w:r/>
            <w:r>
              <w:rPr>
                <w:rFonts w:ascii="Aptos" w:hAnsi="Aptos"/>
                <w:b/>
                <w:color w:val="FFFFFF"/>
                <w:sz w:val="20"/>
              </w:rPr>
              <w:t>Formation</w:t>
            </w:r>
          </w:p>
        </w:tc>
        <w:tc>
          <w:tcPr>
            <w:tcW w:type="dxa" w:w="4819"/>
            <w:vAlign w:val="center"/>
            <w:shd w:fill="D9EAF7"/>
            <w:tcBorders>
              <w:top w:val="single" w:sz="5" w:color="FFFFFF"/>
              <w:left w:val="single" w:sz="5" w:color="FFFFFF"/>
              <w:bottom w:val="single" w:sz="5" w:color="FFFFFF"/>
              <w:right w:val="single" w:sz="5" w:color="FFFFFF"/>
              <w:insideH w:val="single" w:sz="5" w:color="FFFFFF"/>
              <w:insideV w:val="single" w:sz="5" w:color="FFFFFF"/>
            </w:tcBorders>
          </w:tcPr>
          <w:p>
            <w:pPr>
              <w:spacing w:after="0"/>
            </w:pPr>
            <w:r/>
            <w:r>
              <w:rPr>
                <w:rFonts w:ascii="Aptos" w:hAnsi="Aptos"/>
                <w:b w:val="0"/>
                <w:sz w:val="20"/>
              </w:rPr>
              <w:t>BTS SIO - 2e année</w:t>
            </w:r>
          </w:p>
        </w:tc>
      </w:tr>
      <w:tr>
        <w:tc>
          <w:tcPr>
            <w:tcW w:type="dxa" w:w="2381"/>
            <w:vAlign w:val="center"/>
            <w:shd w:fill="17365D"/>
            <w:tcBorders>
              <w:top w:val="single" w:sz="5" w:color="FFFFFF"/>
              <w:left w:val="single" w:sz="5" w:color="FFFFFF"/>
              <w:bottom w:val="single" w:sz="5" w:color="FFFFFF"/>
              <w:right w:val="single" w:sz="5" w:color="FFFFFF"/>
              <w:insideH w:val="single" w:sz="5" w:color="FFFFFF"/>
              <w:insideV w:val="single" w:sz="5" w:color="FFFFFF"/>
            </w:tcBorders>
          </w:tcPr>
          <w:p>
            <w:pPr>
              <w:spacing w:after="0"/>
            </w:pPr>
            <w:r/>
            <w:r>
              <w:rPr>
                <w:rFonts w:ascii="Aptos" w:hAnsi="Aptos"/>
                <w:b/>
                <w:color w:val="FFFFFF"/>
                <w:sz w:val="20"/>
              </w:rPr>
              <w:t>Option</w:t>
            </w:r>
          </w:p>
        </w:tc>
        <w:tc>
          <w:tcPr>
            <w:tcW w:type="dxa" w:w="4819"/>
            <w:vAlign w:val="center"/>
            <w:shd w:fill="D9EAF7"/>
            <w:tcBorders>
              <w:top w:val="single" w:sz="5" w:color="FFFFFF"/>
              <w:left w:val="single" w:sz="5" w:color="FFFFFF"/>
              <w:bottom w:val="single" w:sz="5" w:color="FFFFFF"/>
              <w:right w:val="single" w:sz="5" w:color="FFFFFF"/>
              <w:insideH w:val="single" w:sz="5" w:color="FFFFFF"/>
              <w:insideV w:val="single" w:sz="5" w:color="FFFFFF"/>
            </w:tcBorders>
          </w:tcPr>
          <w:p>
            <w:pPr>
              <w:spacing w:after="0"/>
            </w:pPr>
            <w:r/>
            <w:r>
              <w:rPr>
                <w:rFonts w:ascii="Aptos" w:hAnsi="Aptos"/>
                <w:b w:val="0"/>
                <w:sz w:val="20"/>
              </w:rPr>
              <w:t>SISR</w:t>
            </w:r>
          </w:p>
        </w:tc>
      </w:tr>
      <w:tr>
        <w:tc>
          <w:tcPr>
            <w:tcW w:type="dxa" w:w="2381"/>
            <w:vAlign w:val="center"/>
            <w:shd w:fill="17365D"/>
            <w:tcBorders>
              <w:top w:val="single" w:sz="5" w:color="FFFFFF"/>
              <w:left w:val="single" w:sz="5" w:color="FFFFFF"/>
              <w:bottom w:val="single" w:sz="5" w:color="FFFFFF"/>
              <w:right w:val="single" w:sz="5" w:color="FFFFFF"/>
              <w:insideH w:val="single" w:sz="5" w:color="FFFFFF"/>
              <w:insideV w:val="single" w:sz="5" w:color="FFFFFF"/>
            </w:tcBorders>
          </w:tcPr>
          <w:p>
            <w:pPr>
              <w:spacing w:after="0"/>
            </w:pPr>
            <w:r/>
            <w:r>
              <w:rPr>
                <w:rFonts w:ascii="Aptos" w:hAnsi="Aptos"/>
                <w:b/>
                <w:color w:val="FFFFFF"/>
                <w:sz w:val="20"/>
              </w:rPr>
              <w:t>Date</w:t>
            </w:r>
          </w:p>
        </w:tc>
        <w:tc>
          <w:tcPr>
            <w:tcW w:type="dxa" w:w="4819"/>
            <w:vAlign w:val="center"/>
            <w:shd w:fill="D9EAF7"/>
            <w:tcBorders>
              <w:top w:val="single" w:sz="5" w:color="FFFFFF"/>
              <w:left w:val="single" w:sz="5" w:color="FFFFFF"/>
              <w:bottom w:val="single" w:sz="5" w:color="FFFFFF"/>
              <w:right w:val="single" w:sz="5" w:color="FFFFFF"/>
              <w:insideH w:val="single" w:sz="5" w:color="FFFFFF"/>
              <w:insideV w:val="single" w:sz="5" w:color="FFFFFF"/>
            </w:tcBorders>
          </w:tcPr>
          <w:p>
            <w:pPr>
              <w:spacing w:after="0"/>
            </w:pPr>
            <w:r/>
            <w:r>
              <w:rPr>
                <w:rFonts w:ascii="Aptos" w:hAnsi="Aptos"/>
                <w:b w:val="0"/>
                <w:sz w:val="20"/>
              </w:rPr>
              <w:t>23 septembre 2026</w:t>
            </w:r>
          </w:p>
        </w:tc>
      </w:tr>
    </w:tbl>
    <w:p>
      <w:pPr>
        <w:spacing w:before="1000"/>
        <w:jc w:val="center"/>
      </w:pPr>
      <w:r>
        <w:rPr>
          <w:color w:val="17365D"/>
          <w:sz w:val="20"/>
        </w:rPr>
        <w:t>Objectif : organiser la progression dans le MOOC à l'aide d'un planning précis, réaliste et compatible avec les contraintes du BTS.</w:t>
      </w:r>
    </w:p>
    <w:p>
      <w:r>
        <w:br w:type="page"/>
      </w:r>
    </w:p>
    <w:p>
      <w:pPr>
        <w:pStyle w:val="Heading1"/>
      </w:pPr>
      <w:r>
        <w:t>1. Présentation du TP</w:t>
      </w:r>
    </w:p>
    <w:p>
      <w:r>
        <w:t>Ce deuxième travail pratique a pour objectif de préparer un planning de formation pour le MOOC choisi lors du TP1. J'ai repris les informations concernant le cours, analysé son organisation, estimé le temps nécessaire pour chaque partie et réparti le travail sur plusieurs semaines. Le planning tient compte de mes cours de BTS SIO, de mes travaux pratiques et de mon travail personnel.</w:t>
      </w:r>
    </w:p>
    <w:p>
      <w:pPr>
        <w:pStyle w:val="Heading1"/>
      </w:pPr>
      <w:r>
        <w:t>2. Rappel du MOOC sélectionné</w:t>
      </w:r>
    </w:p>
    <w:tbl>
      <w:tblPr>
        <w:tblW w:type="auto" w:w="0"/>
        <w:jc w:val="center"/>
        <w:tblLayout w:type="fixed"/>
        <w:tblLook w:firstColumn="1" w:firstRow="1" w:lastColumn="0" w:lastRow="0" w:noHBand="0" w:noVBand="1" w:val="04A0"/>
      </w:tblPr>
      <w:tblGrid>
        <w:gridCol w:w="4986"/>
        <w:gridCol w:w="4986"/>
      </w:tblGrid>
      <w:tr>
        <w:tc>
          <w:tcPr>
            <w:tcW w:type="dxa" w:w="2948"/>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Élément</w:t>
            </w:r>
          </w:p>
        </w:tc>
        <w:tc>
          <w:tcPr>
            <w:tcW w:type="dxa" w:w="6860"/>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Information</w:t>
            </w:r>
          </w:p>
        </w:tc>
      </w:tr>
      <w:tr>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Titre</w:t>
            </w:r>
          </w:p>
        </w:tc>
        <w:tc>
          <w:tcPr>
            <w:tcW w:type="dxa" w:w="686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Introduction to Cybersecurity</w:t>
            </w:r>
          </w:p>
        </w:tc>
      </w:tr>
      <w:tr>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Plateforme</w:t>
            </w:r>
          </w:p>
        </w:tc>
        <w:tc>
          <w:tcPr>
            <w:tcW w:type="dxa" w:w="686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Cisco Networking Academy</w:t>
            </w:r>
          </w:p>
        </w:tc>
      </w:tr>
      <w:tr>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Organisme</w:t>
            </w:r>
          </w:p>
        </w:tc>
        <w:tc>
          <w:tcPr>
            <w:tcW w:type="dxa" w:w="686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Cisco</w:t>
            </w:r>
          </w:p>
        </w:tc>
      </w:tr>
      <w:tr>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Domaine</w:t>
            </w:r>
          </w:p>
        </w:tc>
        <w:tc>
          <w:tcPr>
            <w:tcW w:type="dxa" w:w="686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Cybersécurité</w:t>
            </w:r>
          </w:p>
        </w:tc>
      </w:tr>
      <w:tr>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Niveau</w:t>
            </w:r>
          </w:p>
        </w:tc>
        <w:tc>
          <w:tcPr>
            <w:tcW w:type="dxa" w:w="686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Débutant</w:t>
            </w:r>
          </w:p>
        </w:tc>
      </w:tr>
      <w:tr>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Durée estimée</w:t>
            </w:r>
          </w:p>
        </w:tc>
        <w:tc>
          <w:tcPr>
            <w:tcW w:type="dxa" w:w="686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Environ 6 heures</w:t>
            </w:r>
          </w:p>
        </w:tc>
      </w:tr>
      <w:tr>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Prérequis</w:t>
            </w:r>
          </w:p>
        </w:tc>
        <w:tc>
          <w:tcPr>
            <w:tcW w:type="dxa" w:w="686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Aucun</w:t>
            </w:r>
          </w:p>
        </w:tc>
      </w:tr>
      <w:tr>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Objectif principal</w:t>
            </w:r>
          </w:p>
        </w:tc>
        <w:tc>
          <w:tcPr>
            <w:tcW w:type="dxa" w:w="686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Découvrir les menaces, la protection des données et les métiers de la cybersécurité</w:t>
            </w:r>
          </w:p>
        </w:tc>
      </w:tr>
      <w:tr>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Évaluation</w:t>
            </w:r>
          </w:p>
        </w:tc>
        <w:tc>
          <w:tcPr>
            <w:tcW w:type="dxa" w:w="686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Quiz, contrôles de connaissances et évaluation finale</w:t>
            </w:r>
          </w:p>
        </w:tc>
      </w:tr>
      <w:tr>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Validation</w:t>
            </w:r>
          </w:p>
        </w:tc>
        <w:tc>
          <w:tcPr>
            <w:tcW w:type="dxa" w:w="686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Badge numérique selon les conditions de réussite</w:t>
            </w:r>
          </w:p>
        </w:tc>
      </w:tr>
    </w:tbl>
    <w:p>
      <w:pPr>
        <w:spacing w:after="0"/>
      </w:pPr>
    </w:p>
    <w:p>
      <w:pPr>
        <w:pStyle w:val="Heading1"/>
      </w:pPr>
      <w:r>
        <w:t>3. Décomposition de la formation</w:t>
      </w:r>
    </w:p>
    <w:p>
      <w:r>
        <w:t>Le cours est organisé en cinq grands modules, suivis d'une évaluation finale. Les ressources sont principalement composées de leçons en ligne, de contenus interactifs et de questions de vérification.</w:t>
      </w:r>
    </w:p>
    <w:tbl>
      <w:tblPr>
        <w:tblW w:type="auto" w:w="0"/>
        <w:jc w:val="center"/>
        <w:tblLayout w:type="fixed"/>
        <w:tblLook w:firstColumn="1" w:firstRow="1" w:lastColumn="0" w:lastRow="0" w:noHBand="0" w:noVBand="1" w:val="04A0"/>
      </w:tblPr>
      <w:tblGrid>
        <w:gridCol w:w="3324"/>
        <w:gridCol w:w="3324"/>
        <w:gridCol w:w="3324"/>
      </w:tblGrid>
      <w:tr>
        <w:tc>
          <w:tcPr>
            <w:tcW w:type="dxa" w:w="2381"/>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Module</w:t>
            </w:r>
          </w:p>
        </w:tc>
        <w:tc>
          <w:tcPr>
            <w:tcW w:type="dxa" w:w="4082"/>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Contenu principal</w:t>
            </w:r>
          </w:p>
        </w:tc>
        <w:tc>
          <w:tcPr>
            <w:tcW w:type="dxa" w:w="3345"/>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Ressources et activités</w:t>
            </w:r>
          </w:p>
        </w:tc>
      </w:tr>
      <w:tr>
        <w:tc>
          <w:tcPr>
            <w:tcW w:type="dxa" w:w="238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Introduction à la cybersécurité</w:t>
            </w:r>
          </w:p>
        </w:tc>
        <w:tc>
          <w:tcPr>
            <w:tcW w:type="dxa" w:w="4082"/>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Importance de la cybersécurité et protection de l'identité numérique</w:t>
            </w:r>
          </w:p>
        </w:tc>
        <w:tc>
          <w:tcPr>
            <w:tcW w:type="dxa" w:w="3345"/>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Leçons, exemples et questions de vérification</w:t>
            </w:r>
          </w:p>
        </w:tc>
      </w:tr>
      <w:tr>
        <w:tc>
          <w:tcPr>
            <w:tcW w:type="dxa" w:w="238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 Attaques, concepts et techniques</w:t>
            </w:r>
          </w:p>
        </w:tc>
        <w:tc>
          <w:tcPr>
            <w:tcW w:type="dxa" w:w="4082"/>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Menaces, logiciels malveillants, méthodes d'attaque et vulnérabilités</w:t>
            </w:r>
          </w:p>
        </w:tc>
        <w:tc>
          <w:tcPr>
            <w:tcW w:type="dxa" w:w="3345"/>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Leçons interactives et quiz</w:t>
            </w:r>
          </w:p>
        </w:tc>
      </w:tr>
      <w:tr>
        <w:tc>
          <w:tcPr>
            <w:tcW w:type="dxa" w:w="238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3. Protection des données et de la vie privée</w:t>
            </w:r>
          </w:p>
        </w:tc>
        <w:tc>
          <w:tcPr>
            <w:tcW w:type="dxa" w:w="4082"/>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Confidentialité, mots de passe, données personnelles et bonnes pratiques</w:t>
            </w:r>
          </w:p>
        </w:tc>
        <w:tc>
          <w:tcPr>
            <w:tcW w:type="dxa" w:w="3345"/>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Leçons, situations concrètes et quiz</w:t>
            </w:r>
          </w:p>
        </w:tc>
      </w:tr>
      <w:tr>
        <w:tc>
          <w:tcPr>
            <w:tcW w:type="dxa" w:w="238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4. Protection des organisations</w:t>
            </w:r>
          </w:p>
        </w:tc>
        <w:tc>
          <w:tcPr>
            <w:tcW w:type="dxa" w:w="4082"/>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Mesures de sécurité, surveillance, réaction aux incidents et gestion des risques</w:t>
            </w:r>
          </w:p>
        </w:tc>
        <w:tc>
          <w:tcPr>
            <w:tcW w:type="dxa" w:w="3345"/>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Ressources interactives et contrôle des connaissances</w:t>
            </w:r>
          </w:p>
        </w:tc>
      </w:tr>
      <w:tr>
        <w:tc>
          <w:tcPr>
            <w:tcW w:type="dxa" w:w="238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5. Avenir dans la cybersécurité</w:t>
            </w:r>
          </w:p>
        </w:tc>
        <w:tc>
          <w:tcPr>
            <w:tcW w:type="dxa" w:w="4082"/>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Métiers, compétences et possibilités de formation dans le secteur</w:t>
            </w:r>
          </w:p>
        </w:tc>
        <w:tc>
          <w:tcPr>
            <w:tcW w:type="dxa" w:w="3345"/>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Lecture, bilan et activité de réflexion</w:t>
            </w:r>
          </w:p>
        </w:tc>
      </w:tr>
      <w:tr>
        <w:tc>
          <w:tcPr>
            <w:tcW w:type="dxa" w:w="238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Évaluation finale</w:t>
            </w:r>
          </w:p>
        </w:tc>
        <w:tc>
          <w:tcPr>
            <w:tcW w:type="dxa" w:w="4082"/>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Révision de toutes les notions du cours</w:t>
            </w:r>
          </w:p>
        </w:tc>
        <w:tc>
          <w:tcPr>
            <w:tcW w:type="dxa" w:w="3345"/>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Quiz final et validation du parcours</w:t>
            </w:r>
          </w:p>
        </w:tc>
      </w:tr>
    </w:tbl>
    <w:p>
      <w:pPr>
        <w:spacing w:after="0"/>
      </w:pPr>
    </w:p>
    <w:p>
      <w:r>
        <w:br w:type="page"/>
      </w:r>
    </w:p>
    <w:p>
      <w:pPr>
        <w:pStyle w:val="Heading1"/>
      </w:pPr>
      <w:r>
        <w:t>4. Estimation de la charge de travail</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458"/>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Partie</w:t>
            </w:r>
          </w:p>
        </w:tc>
        <w:tc>
          <w:tcPr>
            <w:tcW w:type="dxa" w:w="2154"/>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Lecture / cours</w:t>
            </w:r>
          </w:p>
        </w:tc>
        <w:tc>
          <w:tcPr>
            <w:tcW w:type="dxa" w:w="2154"/>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Activités / quiz</w:t>
            </w:r>
          </w:p>
        </w:tc>
        <w:tc>
          <w:tcPr>
            <w:tcW w:type="dxa" w:w="2041"/>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Total</w:t>
            </w:r>
          </w:p>
        </w:tc>
      </w:tr>
      <w:tr>
        <w:tc>
          <w:tcPr>
            <w:tcW w:type="dxa" w:w="345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1</w:t>
            </w:r>
          </w:p>
        </w:tc>
        <w:tc>
          <w:tcPr>
            <w:tcW w:type="dxa" w:w="2154"/>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40 min</w:t>
            </w:r>
          </w:p>
        </w:tc>
        <w:tc>
          <w:tcPr>
            <w:tcW w:type="dxa" w:w="2154"/>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20 min</w:t>
            </w:r>
          </w:p>
        </w:tc>
        <w:tc>
          <w:tcPr>
            <w:tcW w:type="dxa" w:w="204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r>
      <w:tr>
        <w:tc>
          <w:tcPr>
            <w:tcW w:type="dxa" w:w="345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2</w:t>
            </w:r>
          </w:p>
        </w:tc>
        <w:tc>
          <w:tcPr>
            <w:tcW w:type="dxa" w:w="2154"/>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40 min</w:t>
            </w:r>
          </w:p>
        </w:tc>
        <w:tc>
          <w:tcPr>
            <w:tcW w:type="dxa" w:w="2154"/>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20 min</w:t>
            </w:r>
          </w:p>
        </w:tc>
        <w:tc>
          <w:tcPr>
            <w:tcW w:type="dxa" w:w="204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r>
      <w:tr>
        <w:tc>
          <w:tcPr>
            <w:tcW w:type="dxa" w:w="345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3</w:t>
            </w:r>
          </w:p>
        </w:tc>
        <w:tc>
          <w:tcPr>
            <w:tcW w:type="dxa" w:w="2154"/>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40 min</w:t>
            </w:r>
          </w:p>
        </w:tc>
        <w:tc>
          <w:tcPr>
            <w:tcW w:type="dxa" w:w="2154"/>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20 min</w:t>
            </w:r>
          </w:p>
        </w:tc>
        <w:tc>
          <w:tcPr>
            <w:tcW w:type="dxa" w:w="204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r>
      <w:tr>
        <w:tc>
          <w:tcPr>
            <w:tcW w:type="dxa" w:w="345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4</w:t>
            </w:r>
          </w:p>
        </w:tc>
        <w:tc>
          <w:tcPr>
            <w:tcW w:type="dxa" w:w="2154"/>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40 min</w:t>
            </w:r>
          </w:p>
        </w:tc>
        <w:tc>
          <w:tcPr>
            <w:tcW w:type="dxa" w:w="2154"/>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20 min</w:t>
            </w:r>
          </w:p>
        </w:tc>
        <w:tc>
          <w:tcPr>
            <w:tcW w:type="dxa" w:w="204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r>
      <w:tr>
        <w:tc>
          <w:tcPr>
            <w:tcW w:type="dxa" w:w="345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5</w:t>
            </w:r>
          </w:p>
        </w:tc>
        <w:tc>
          <w:tcPr>
            <w:tcW w:type="dxa" w:w="2154"/>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40 min</w:t>
            </w:r>
          </w:p>
        </w:tc>
        <w:tc>
          <w:tcPr>
            <w:tcW w:type="dxa" w:w="2154"/>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20 min</w:t>
            </w:r>
          </w:p>
        </w:tc>
        <w:tc>
          <w:tcPr>
            <w:tcW w:type="dxa" w:w="204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r>
      <w:tr>
        <w:tc>
          <w:tcPr>
            <w:tcW w:type="dxa" w:w="345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Révisions et évaluation finale</w:t>
            </w:r>
          </w:p>
        </w:tc>
        <w:tc>
          <w:tcPr>
            <w:tcW w:type="dxa" w:w="2154"/>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30 min</w:t>
            </w:r>
          </w:p>
        </w:tc>
        <w:tc>
          <w:tcPr>
            <w:tcW w:type="dxa" w:w="2154"/>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30 min</w:t>
            </w:r>
          </w:p>
        </w:tc>
        <w:tc>
          <w:tcPr>
            <w:tcW w:type="dxa" w:w="204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r>
      <w:tr>
        <w:tc>
          <w:tcPr>
            <w:tcW w:type="dxa" w:w="345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Total prévu</w:t>
            </w:r>
          </w:p>
        </w:tc>
        <w:tc>
          <w:tcPr>
            <w:tcW w:type="dxa" w:w="2154"/>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3 h 50</w:t>
            </w:r>
          </w:p>
        </w:tc>
        <w:tc>
          <w:tcPr>
            <w:tcW w:type="dxa" w:w="2154"/>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 h 10</w:t>
            </w:r>
          </w:p>
        </w:tc>
        <w:tc>
          <w:tcPr>
            <w:tcW w:type="dxa" w:w="204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6 h</w:t>
            </w:r>
          </w:p>
        </w:tc>
      </w:tr>
    </w:tbl>
    <w:p>
      <w:pPr>
        <w:spacing w:after="0"/>
      </w:pPr>
    </w:p>
    <w:p>
      <w:pPr>
        <w:pStyle w:val="Heading1"/>
      </w:pPr>
      <w:r>
        <w:t>5. Disponibilités et contraintes</w:t>
      </w:r>
    </w:p>
    <w:p>
      <w:r>
        <w:t>Je peux consacrer environ une heure par semaine à ce MOOC. Le créneau principal retenu est le mercredi en fin de journée. Ce rythme est réaliste, car il laisse du temps pour les cours, les TP, les devoirs et les éventuelles évaluations du BTS.</w:t>
      </w:r>
    </w:p>
    <w:p>
      <w:pPr>
        <w:pStyle w:val="ListBullet"/>
        <w:spacing w:after="60"/>
      </w:pPr>
      <w:r>
        <w:t>Disponibilité principale : une séance d'environ une heure chaque semaine.</w:t>
      </w:r>
    </w:p>
    <w:p>
      <w:pPr>
        <w:pStyle w:val="ListBullet"/>
        <w:spacing w:after="60"/>
      </w:pPr>
      <w:r>
        <w:t>Contraintes : emploi du temps du BTS, devoirs, TP, examens et obligations personnelles.</w:t>
      </w:r>
    </w:p>
    <w:p>
      <w:pPr>
        <w:pStyle w:val="ListBullet"/>
        <w:spacing w:after="60"/>
      </w:pPr>
      <w:r>
        <w:t>Solution prévue : reporter exceptionnellement la séance au week-end si le mercredi n'est pas disponible.</w:t>
      </w:r>
    </w:p>
    <w:p>
      <w:pPr>
        <w:pStyle w:val="ListBullet"/>
        <w:spacing w:after="60"/>
      </w:pPr>
      <w:r>
        <w:t>Marge de sécurité : une semaine complète de rattrapage est ajoutée au planning.</w:t>
      </w:r>
    </w:p>
    <w:p>
      <w:r>
        <w:br w:type="page"/>
      </w:r>
    </w:p>
    <w:p>
      <w:pPr>
        <w:pStyle w:val="Heading1"/>
      </w:pPr>
      <w:r>
        <w:t>6. Planning prévisionnel</w:t>
      </w:r>
    </w:p>
    <w:p>
      <w:r>
        <w:t>Le planning commence après la séance du TP2. Chaque semaine correspond à une étape précise afin d'avancer régulièrement sans accumuler de retard.</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850"/>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Semaine</w:t>
            </w:r>
          </w:p>
        </w:tc>
        <w:tc>
          <w:tcPr>
            <w:tcW w:type="dxa" w:w="1928"/>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Période</w:t>
            </w:r>
          </w:p>
        </w:tc>
        <w:tc>
          <w:tcPr>
            <w:tcW w:type="dxa" w:w="2948"/>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Travail prévu</w:t>
            </w:r>
          </w:p>
        </w:tc>
        <w:tc>
          <w:tcPr>
            <w:tcW w:type="dxa" w:w="1020"/>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Durée</w:t>
            </w:r>
          </w:p>
        </w:tc>
        <w:tc>
          <w:tcPr>
            <w:tcW w:type="dxa" w:w="3061"/>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Jalon / résultat attendu</w:t>
            </w:r>
          </w:p>
        </w:tc>
      </w:tr>
      <w:tr>
        <w:tc>
          <w:tcPr>
            <w:tcW w:type="dxa" w:w="85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w:t>
            </w:r>
          </w:p>
        </w:tc>
        <w:tc>
          <w:tcPr>
            <w:tcW w:type="dxa" w:w="192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23 au 29 septembre 2026</w:t>
            </w:r>
          </w:p>
        </w:tc>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1 - Introduction à la cybersécurité</w:t>
            </w:r>
          </w:p>
        </w:tc>
        <w:tc>
          <w:tcPr>
            <w:tcW w:type="dxa" w:w="102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c>
          <w:tcPr>
            <w:tcW w:type="dxa" w:w="306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terminé et notions principales comprises</w:t>
            </w:r>
          </w:p>
        </w:tc>
      </w:tr>
      <w:tr>
        <w:tc>
          <w:tcPr>
            <w:tcW w:type="dxa" w:w="85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w:t>
            </w:r>
          </w:p>
        </w:tc>
        <w:tc>
          <w:tcPr>
            <w:tcW w:type="dxa" w:w="192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30 septembre au 6 octobre 2026</w:t>
            </w:r>
          </w:p>
        </w:tc>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2 - Attaques, concepts et techniques</w:t>
            </w:r>
          </w:p>
        </w:tc>
        <w:tc>
          <w:tcPr>
            <w:tcW w:type="dxa" w:w="102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c>
          <w:tcPr>
            <w:tcW w:type="dxa" w:w="306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Quiz du module réalisé</w:t>
            </w:r>
          </w:p>
        </w:tc>
      </w:tr>
      <w:tr>
        <w:tc>
          <w:tcPr>
            <w:tcW w:type="dxa" w:w="85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3</w:t>
            </w:r>
          </w:p>
        </w:tc>
        <w:tc>
          <w:tcPr>
            <w:tcW w:type="dxa" w:w="192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7 au 13 octobre 2026</w:t>
            </w:r>
          </w:p>
        </w:tc>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3 - Protection des données et de la vie privée</w:t>
            </w:r>
          </w:p>
        </w:tc>
        <w:tc>
          <w:tcPr>
            <w:tcW w:type="dxa" w:w="102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c>
          <w:tcPr>
            <w:tcW w:type="dxa" w:w="306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Bonnes pratiques identifiées</w:t>
            </w:r>
          </w:p>
        </w:tc>
      </w:tr>
      <w:tr>
        <w:tc>
          <w:tcPr>
            <w:tcW w:type="dxa" w:w="85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4</w:t>
            </w:r>
          </w:p>
        </w:tc>
        <w:tc>
          <w:tcPr>
            <w:tcW w:type="dxa" w:w="192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14 au 20 octobre 2026</w:t>
            </w:r>
          </w:p>
        </w:tc>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4 - Protection des organisations</w:t>
            </w:r>
          </w:p>
        </w:tc>
        <w:tc>
          <w:tcPr>
            <w:tcW w:type="dxa" w:w="102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c>
          <w:tcPr>
            <w:tcW w:type="dxa" w:w="306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Contrôle des connaissances réalisé</w:t>
            </w:r>
          </w:p>
        </w:tc>
      </w:tr>
      <w:tr>
        <w:tc>
          <w:tcPr>
            <w:tcW w:type="dxa" w:w="85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5</w:t>
            </w:r>
          </w:p>
        </w:tc>
        <w:tc>
          <w:tcPr>
            <w:tcW w:type="dxa" w:w="192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21 au 27 octobre 2026</w:t>
            </w:r>
          </w:p>
        </w:tc>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5 - Avenir dans la cybersécurité</w:t>
            </w:r>
          </w:p>
        </w:tc>
        <w:tc>
          <w:tcPr>
            <w:tcW w:type="dxa" w:w="102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c>
          <w:tcPr>
            <w:tcW w:type="dxa" w:w="306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Module terminé et métiers découverts</w:t>
            </w:r>
          </w:p>
        </w:tc>
      </w:tr>
      <w:tr>
        <w:tc>
          <w:tcPr>
            <w:tcW w:type="dxa" w:w="85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6</w:t>
            </w:r>
          </w:p>
        </w:tc>
        <w:tc>
          <w:tcPr>
            <w:tcW w:type="dxa" w:w="192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28 octobre au 3 novembre 2026</w:t>
            </w:r>
          </w:p>
        </w:tc>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Révisions et évaluation finale</w:t>
            </w:r>
          </w:p>
        </w:tc>
        <w:tc>
          <w:tcPr>
            <w:tcW w:type="dxa" w:w="102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w:t>
            </w:r>
          </w:p>
        </w:tc>
        <w:tc>
          <w:tcPr>
            <w:tcW w:type="dxa" w:w="3061"/>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Évaluation finale terminée</w:t>
            </w:r>
          </w:p>
        </w:tc>
      </w:tr>
      <w:tr>
        <w:tc>
          <w:tcPr>
            <w:tcW w:type="dxa" w:w="85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7</w:t>
            </w:r>
          </w:p>
        </w:tc>
        <w:tc>
          <w:tcPr>
            <w:tcW w:type="dxa" w:w="192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4 au 10 novembre 2026</w:t>
            </w:r>
          </w:p>
        </w:tc>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Rattrapage ou nouvelle tentative si nécessaire</w:t>
            </w:r>
          </w:p>
        </w:tc>
        <w:tc>
          <w:tcPr>
            <w:tcW w:type="dxa" w:w="102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 h maximum</w:t>
            </w:r>
          </w:p>
        </w:tc>
        <w:tc>
          <w:tcPr>
            <w:tcW w:type="dxa" w:w="3061"/>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Cours finalisé et badge vérifié</w:t>
            </w:r>
          </w:p>
        </w:tc>
      </w:tr>
    </w:tbl>
    <w:p>
      <w:pPr>
        <w:spacing w:after="0"/>
      </w:pPr>
    </w:p>
    <w:p>
      <w:pPr>
        <w:pStyle w:val="Heading1"/>
      </w:pPr>
      <w:r>
        <w:t>7. Jalons retenus</w:t>
      </w:r>
    </w:p>
    <w:tbl>
      <w:tblPr>
        <w:tblW w:type="auto" w:w="0"/>
        <w:jc w:val="center"/>
        <w:tblLayout w:type="fixed"/>
        <w:tblLook w:firstColumn="1" w:firstRow="1" w:lastColumn="0" w:lastRow="0" w:noHBand="0" w:noVBand="1" w:val="04A0"/>
      </w:tblPr>
      <w:tblGrid>
        <w:gridCol w:w="3324"/>
        <w:gridCol w:w="3324"/>
        <w:gridCol w:w="3324"/>
      </w:tblGrid>
      <w:tr>
        <w:tc>
          <w:tcPr>
            <w:tcW w:type="dxa" w:w="3005"/>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Jalon</w:t>
            </w:r>
          </w:p>
        </w:tc>
        <w:tc>
          <w:tcPr>
            <w:tcW w:type="dxa" w:w="2438"/>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Échéance prévue</w:t>
            </w:r>
          </w:p>
        </w:tc>
        <w:tc>
          <w:tcPr>
            <w:tcW w:type="dxa" w:w="3969"/>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Indicateur de réussite</w:t>
            </w:r>
          </w:p>
        </w:tc>
      </w:tr>
      <w:tr>
        <w:tc>
          <w:tcPr>
            <w:tcW w:type="dxa" w:w="3005"/>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Début de la formation</w:t>
            </w:r>
          </w:p>
        </w:tc>
        <w:tc>
          <w:tcPr>
            <w:tcW w:type="dxa" w:w="243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23 septembre 2026</w:t>
            </w:r>
          </w:p>
        </w:tc>
        <w:tc>
          <w:tcPr>
            <w:tcW w:type="dxa" w:w="3969"/>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Cours accessible depuis le tableau de bord</w:t>
            </w:r>
          </w:p>
        </w:tc>
      </w:tr>
      <w:tr>
        <w:tc>
          <w:tcPr>
            <w:tcW w:type="dxa" w:w="3005"/>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Fin des trois premiers modules</w:t>
            </w:r>
          </w:p>
        </w:tc>
        <w:tc>
          <w:tcPr>
            <w:tcW w:type="dxa" w:w="243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13 octobre 2026</w:t>
            </w:r>
          </w:p>
        </w:tc>
        <w:tc>
          <w:tcPr>
            <w:tcW w:type="dxa" w:w="3969"/>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Progression régulière et quiz réalisés</w:t>
            </w:r>
          </w:p>
        </w:tc>
      </w:tr>
      <w:tr>
        <w:tc>
          <w:tcPr>
            <w:tcW w:type="dxa" w:w="3005"/>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Fin de tous les modules</w:t>
            </w:r>
          </w:p>
        </w:tc>
        <w:tc>
          <w:tcPr>
            <w:tcW w:type="dxa" w:w="243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27 octobre 2026</w:t>
            </w:r>
          </w:p>
        </w:tc>
        <w:tc>
          <w:tcPr>
            <w:tcW w:type="dxa" w:w="3969"/>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Les cinq modules sont terminés</w:t>
            </w:r>
          </w:p>
        </w:tc>
      </w:tr>
      <w:tr>
        <w:tc>
          <w:tcPr>
            <w:tcW w:type="dxa" w:w="3005"/>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Évaluation finale</w:t>
            </w:r>
          </w:p>
        </w:tc>
        <w:tc>
          <w:tcPr>
            <w:tcW w:type="dxa" w:w="243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3 novembre 2026</w:t>
            </w:r>
          </w:p>
        </w:tc>
        <w:tc>
          <w:tcPr>
            <w:tcW w:type="dxa" w:w="3969"/>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Quiz final réalisé</w:t>
            </w:r>
          </w:p>
        </w:tc>
      </w:tr>
      <w:tr>
        <w:tc>
          <w:tcPr>
            <w:tcW w:type="dxa" w:w="3005"/>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Fin du rattrapage</w:t>
            </w:r>
          </w:p>
        </w:tc>
        <w:tc>
          <w:tcPr>
            <w:tcW w:type="dxa" w:w="243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10 novembre 2026</w:t>
            </w:r>
          </w:p>
        </w:tc>
        <w:tc>
          <w:tcPr>
            <w:tcW w:type="dxa" w:w="3969"/>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Parcours entièrement finalisé</w:t>
            </w:r>
          </w:p>
        </w:tc>
      </w:tr>
      <w:tr>
        <w:tc>
          <w:tcPr>
            <w:tcW w:type="dxa" w:w="3005"/>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Dépôt du planning dans le portfolio</w:t>
            </w:r>
          </w:p>
        </w:tc>
        <w:tc>
          <w:tcPr>
            <w:tcW w:type="dxa" w:w="243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30 septembre 2026 au plus tard</w:t>
            </w:r>
          </w:p>
        </w:tc>
        <w:tc>
          <w:tcPr>
            <w:tcW w:type="dxa" w:w="3969"/>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Document disponible dans le portfolio étudiant</w:t>
            </w:r>
          </w:p>
        </w:tc>
      </w:tr>
    </w:tbl>
    <w:p>
      <w:pPr>
        <w:spacing w:after="0"/>
      </w:pPr>
    </w:p>
    <w:p>
      <w:r>
        <w:br w:type="page"/>
      </w:r>
    </w:p>
    <w:p>
      <w:pPr>
        <w:pStyle w:val="Heading1"/>
      </w:pPr>
      <w:r>
        <w:t>8. Méthode de suivi</w:t>
      </w:r>
    </w:p>
    <w:p>
      <w:r>
        <w:t>Je suivrai mon avancement à l'aide d'un tableau de suivi hebdomadaire. Après chaque séance, j'indiquerai la date, la partie terminée, le temps réellement utilisé et les difficultés rencontrées. Le tableau de bord de Cisco permettra également de vérifier le pourcentage de progression dans le cours.</w:t>
      </w:r>
    </w:p>
    <w:tbl>
      <w:tblPr>
        <w:tblW w:type="auto" w:w="0"/>
        <w:jc w:val="center"/>
        <w:tblLayout w:type="fixed"/>
        <w:tblLook w:firstColumn="1" w:firstRow="1" w:lastColumn="0" w:lastRow="0" w:noHBand="0" w:noVBand="1" w:val="04A0"/>
      </w:tblPr>
      <w:tblGrid>
        <w:gridCol w:w="4986"/>
        <w:gridCol w:w="4986"/>
      </w:tblGrid>
      <w:tr>
        <w:tc>
          <w:tcPr>
            <w:tcW w:type="dxa" w:w="2948"/>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Élément suivi</w:t>
            </w:r>
          </w:p>
        </w:tc>
        <w:tc>
          <w:tcPr>
            <w:tcW w:type="dxa" w:w="6860"/>
            <w:vAlign w:val="center"/>
            <w:shd w:fill="17365D"/>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
              <w:rPr>
                <w:rFonts w:ascii="Aptos" w:hAnsi="Aptos"/>
                <w:b/>
                <w:color w:val="FFFFFF"/>
                <w:sz w:val="17"/>
              </w:rPr>
              <w:t>Méthode</w:t>
            </w:r>
          </w:p>
        </w:tc>
      </w:tr>
      <w:tr>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Progression</w:t>
            </w:r>
          </w:p>
        </w:tc>
        <w:tc>
          <w:tcPr>
            <w:tcW w:type="dxa" w:w="686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Vérification du tableau de bord Cisco après chaque séance</w:t>
            </w:r>
          </w:p>
        </w:tc>
      </w:tr>
      <w:tr>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Temps de travail</w:t>
            </w:r>
          </w:p>
        </w:tc>
        <w:tc>
          <w:tcPr>
            <w:tcW w:type="dxa" w:w="686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Inscription du temps réellement passé dans le tableau de suivi</w:t>
            </w:r>
          </w:p>
        </w:tc>
      </w:tr>
      <w:tr>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Résultats</w:t>
            </w:r>
          </w:p>
        </w:tc>
        <w:tc>
          <w:tcPr>
            <w:tcW w:type="dxa" w:w="686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Notation des quiz terminés et des points à revoir</w:t>
            </w:r>
          </w:p>
        </w:tc>
      </w:tr>
      <w:tr>
        <w:tc>
          <w:tcPr>
            <w:tcW w:type="dxa" w:w="2948"/>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Rappels</w:t>
            </w:r>
          </w:p>
        </w:tc>
        <w:tc>
          <w:tcPr>
            <w:tcW w:type="dxa" w:w="6860"/>
            <w:vAlign w:val="center"/>
            <w:shd w:fill="FFFFFF"/>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Rappel hebdomadaire dans le calendrier du téléphone</w:t>
            </w:r>
          </w:p>
        </w:tc>
      </w:tr>
      <w:tr>
        <w:tc>
          <w:tcPr>
            <w:tcW w:type="dxa" w:w="2948"/>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Retard</w:t>
            </w:r>
          </w:p>
        </w:tc>
        <w:tc>
          <w:tcPr>
            <w:tcW w:type="dxa" w:w="6860"/>
            <w:vAlign w:val="center"/>
            <w:shd w:fill="F4F8FC"/>
            <w:tcBorders>
              <w:top w:val="single" w:sz="5" w:color="B8CCE4"/>
              <w:left w:val="single" w:sz="5" w:color="B8CCE4"/>
              <w:bottom w:val="single" w:sz="5" w:color="B8CCE4"/>
              <w:right w:val="single" w:sz="5" w:color="B8CCE4"/>
              <w:insideH w:val="single" w:sz="5" w:color="B8CCE4"/>
              <w:insideV w:val="single" w:sz="5" w:color="B8CCE4"/>
            </w:tcBorders>
          </w:tcPr>
          <w:p>
            <w:pPr>
              <w:spacing w:after="0"/>
            </w:pPr>
            <w:r/>
            <w:r>
              <w:rPr>
                <w:rFonts w:ascii="Aptos" w:hAnsi="Aptos"/>
                <w:b w:val="0"/>
                <w:sz w:val="17"/>
              </w:rPr>
              <w:t>Utilisation du créneau du week-end ou de la semaine de rattrapage</w:t>
            </w:r>
          </w:p>
        </w:tc>
      </w:tr>
    </w:tbl>
    <w:p>
      <w:pPr>
        <w:spacing w:after="0"/>
      </w:pPr>
    </w:p>
    <w:p>
      <w:pPr>
        <w:pStyle w:val="Heading1"/>
      </w:pPr>
      <w:r>
        <w:t>9. Justification des choix</w:t>
      </w:r>
    </w:p>
    <w:p>
      <w:r>
        <w:t>J'ai choisi de répartir le MOOC sur six semaines de travail, à raison d'environ une heure par semaine. Cette organisation évite de faire toute la formation en une seule fois et facilite la mémorisation. Chaque séance reste courte et compatible avec mon emploi du temps de BTS SIO. Le planning suit l'ordre des modules afin de respecter la progression pédagogique du cours. La septième semaine constitue une marge de sécurité en cas de devoir urgent, d'examen, d'absence ou de difficulté sur une activité. Le suivi hebdomadaire et les rappels permettront d'éviter les oublis.</w:t>
      </w:r>
    </w:p>
    <w:p>
      <w:pPr>
        <w:pStyle w:val="Heading1"/>
      </w:pPr>
      <w:r>
        <w:t>Conclusion</w:t>
      </w:r>
    </w:p>
    <w:p>
      <w:pPr>
        <w:spacing w:line="40" w:lineRule="exact" w:after="0"/>
      </w:pPr>
    </w:p>
    <w:p>
      <w:r>
        <w:t>Ce TP m'a permis de transformer mon choix de MOOC en un projet organisé et réalisable. Le planning construit précise les modules, le temps de travail, les jalons et la méthode de suivi. Avec une heure de formation par semaine et une semaine de rattrapage, je pourrai terminer le cours « Introduction to Cybersecurity » dans de bonnes conditions et renforcer progressivement mes connaissances en cybersécurité.</w:t>
      </w:r>
    </w:p>
    <w:p>
      <w:pPr>
        <w:pStyle w:val="Heading1"/>
      </w:pPr>
      <w:r>
        <w:t>Webographie</w:t>
      </w:r>
    </w:p>
    <w:p>
      <w:pPr>
        <w:pStyle w:val="ListBullet"/>
        <w:spacing w:after="60"/>
      </w:pPr>
      <w:r>
        <w:t>Cisco Networking Academy : https://www.netacad.com/</w:t>
      </w:r>
    </w:p>
    <w:p>
      <w:pPr>
        <w:pStyle w:val="ListBullet"/>
        <w:spacing w:after="60"/>
      </w:pPr>
      <w:r>
        <w:t>Cours Introduction to Cybersecurity : catalogue Cisco Networking Academy</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Fahad - BTS SIO 2e année SISR | TP2 - Planning MOOC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TP2 - Planning de formation MOOC</dc:title>
  <dc:subject>BTS SIO SISR - Planning Introduction to Cybersecurity</dc:subject>
  <dc:creator>Fahad</dc:creator>
  <cp:keywords/>
  <dc:description>generated by python-docx</dc:description>
  <cp:lastModifiedBy/>
  <cp:revision>1</cp:revision>
  <dcterms:created xsi:type="dcterms:W3CDTF">2013-12-23T23:15:00Z</dcterms:created>
  <dcterms:modified xsi:type="dcterms:W3CDTF">2013-12-23T23:15:00Z</dcterms:modified>
  <cp:category/>
</cp:coreProperties>
</file>