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2E74B5"/>
          <w:sz w:val="22"/>
        </w:rPr>
        <w:t>MODULE 1 MANUAL</w:t>
      </w:r>
    </w:p>
    <w:p>
      <w:pPr>
        <w:spacing w:after="80"/>
      </w:pPr>
      <w:r>
        <w:rPr>
          <w:rFonts w:ascii="Calibri" w:hAnsi="Calibri"/>
          <w:b/>
          <w:color w:val="18324A"/>
          <w:sz w:val="56"/>
        </w:rPr>
        <w:t>RWA-Vault PQ Core</w:t>
      </w:r>
    </w:p>
    <w:p>
      <w:pPr>
        <w:spacing w:after="280"/>
      </w:pPr>
      <w:r>
        <w:rPr>
          <w:rFonts w:ascii="Calibri" w:hAnsi="Calibri"/>
          <w:color w:val="5B6673"/>
          <w:sz w:val="26"/>
        </w:rPr>
        <w:t>Post-quantum signing, verification, conformance, benchmarking, and dispute-path verification</w:t>
      </w:r>
    </w:p>
    <w:p>
      <w:pPr>
        <w:spacing w:after="40" w:line="259" w:lineRule="auto"/>
      </w:pPr>
      <w:r>
        <w:rPr>
          <w:rFonts w:ascii="Calibri" w:hAnsi="Calibri"/>
          <w:b/>
          <w:color w:val="18324A"/>
          <w:sz w:val="20"/>
        </w:rPr>
        <w:t xml:space="preserve">Module: </w:t>
      </w:r>
      <w:r>
        <w:rPr>
          <w:rFonts w:ascii="Calibri" w:hAnsi="Calibri"/>
          <w:color w:val="333333"/>
          <w:sz w:val="20"/>
        </w:rPr>
        <w:t>M1 - PQ Core</w:t>
      </w:r>
    </w:p>
    <w:p>
      <w:pPr>
        <w:spacing w:after="40" w:line="259" w:lineRule="auto"/>
      </w:pPr>
      <w:r>
        <w:rPr>
          <w:rFonts w:ascii="Calibri" w:hAnsi="Calibri"/>
          <w:b/>
          <w:color w:val="18324A"/>
          <w:sz w:val="20"/>
        </w:rPr>
        <w:t xml:space="preserve">Phase: </w:t>
      </w:r>
      <w:r>
        <w:rPr>
          <w:rFonts w:ascii="Calibri" w:hAnsi="Calibri"/>
          <w:color w:val="333333"/>
          <w:sz w:val="20"/>
        </w:rPr>
        <w:t>Foundation; planned for Sprint 1-2</w:t>
      </w:r>
    </w:p>
    <w:p>
      <w:pPr>
        <w:spacing w:after="40" w:line="259" w:lineRule="auto"/>
      </w:pPr>
      <w:r>
        <w:rPr>
          <w:rFonts w:ascii="Calibri" w:hAnsi="Calibri"/>
          <w:b/>
          <w:color w:val="18324A"/>
          <w:sz w:val="20"/>
        </w:rPr>
        <w:t xml:space="preserve">Dependency: </w:t>
      </w:r>
      <w:r>
        <w:rPr>
          <w:rFonts w:ascii="Calibri" w:hAnsi="Calibri"/>
          <w:color w:val="333333"/>
          <w:sz w:val="20"/>
        </w:rPr>
        <w:t>M0 repository and engineering baseline only</w:t>
      </w:r>
    </w:p>
    <w:p>
      <w:pPr>
        <w:spacing w:after="40" w:line="259" w:lineRule="auto"/>
      </w:pPr>
      <w:r>
        <w:rPr>
          <w:rFonts w:ascii="Calibri" w:hAnsi="Calibri"/>
          <w:b/>
          <w:color w:val="18324A"/>
          <w:sz w:val="20"/>
        </w:rPr>
        <w:t xml:space="preserve">Primary package: </w:t>
      </w:r>
      <w:r>
        <w:rPr>
          <w:rFonts w:ascii="Calibri" w:hAnsi="Calibri"/>
          <w:color w:val="333333"/>
          <w:sz w:val="20"/>
        </w:rPr>
        <w:t>packages/pq-core</w:t>
      </w:r>
    </w:p>
    <w:p>
      <w:pPr>
        <w:spacing w:after="40" w:line="259" w:lineRule="auto"/>
      </w:pPr>
      <w:r>
        <w:rPr>
          <w:rFonts w:ascii="Calibri" w:hAnsi="Calibri"/>
          <w:b/>
          <w:color w:val="18324A"/>
          <w:sz w:val="20"/>
        </w:rPr>
        <w:t xml:space="preserve">Status at time of this manual: </w:t>
      </w:r>
      <w:r>
        <w:rPr>
          <w:rFonts w:ascii="Calibri" w:hAnsi="Calibri"/>
          <w:color w:val="333333"/>
          <w:sz w:val="20"/>
        </w:rPr>
        <w:t>TypeScript algorithm identifiers and build scripts exist; the Rust crate and test harnesses are not yet implemented</w:t>
      </w:r>
    </w:p>
    <w:p>
      <w:pPr>
        <w:spacing w:after="40"/>
      </w:pPr>
    </w:p>
    <w:tbl>
      <w:tblPr>
        <w:tblW w:type="dxa" w:w="9360"/>
        <w:jc w:val="left"/>
        <w:tblLayout w:type="fixed"/>
        <w:tblLook w:firstColumn="1" w:firstRow="1" w:lastColumn="0" w:lastRow="0" w:noHBand="0" w:noVBand="1" w:val="04A0"/>
        <w:tblInd w:w="18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vAlign w:val="center"/>
            <w:tcMar>
              <w:top w:w="140" w:type="dxa"/>
              <w:start w:w="180" w:type="dxa"/>
              <w:bottom w:w="140" w:type="dxa"/>
              <w:end w:w="180" w:type="dxa"/>
            </w:tcMar>
            <w:shd w:fill="E8EEF5"/>
          </w:tcPr>
          <w:p>
            <w:pPr>
              <w:spacing w:after="0" w:line="283" w:lineRule="auto"/>
            </w:pPr>
            <w:r>
              <w:rPr>
                <w:rFonts w:ascii="Calibri" w:hAnsi="Calibri"/>
                <w:b/>
                <w:color w:val="2E74B5"/>
                <w:sz w:val="21"/>
              </w:rPr>
              <w:t xml:space="preserve">Module 1 in one sentence: </w:t>
            </w:r>
            <w:r>
              <w:rPr>
                <w:rFonts w:ascii="Calibri" w:hAnsi="Calibri"/>
                <w:color w:val="18324A"/>
                <w:sz w:val="21"/>
              </w:rPr>
              <w:t>M1 is the executable cryptographic foundation that creates and verifies the project's post-quantum signatures in browsers, backend services, offline root-key operations, and the Ethereum dispute path.</w:t>
            </w:r>
          </w:p>
        </w:tc>
      </w:tr>
    </w:tbl>
    <w:p>
      <w:pPr>
        <w:spacing w:after="40" w:line="40" w:lineRule="exact"/>
      </w:pPr>
    </w:p>
    <w:p>
      <w:pPr>
        <w:pStyle w:val="Heading1"/>
        <w:keepNext/>
      </w:pPr>
      <w:r>
        <w:t>1. What Module 1 Is</w:t>
      </w:r>
    </w:p>
    <w:p>
      <w:pPr/>
      <w:r>
        <w:t>Module 1 (M1), named PQ Core, is the RWA-Vault cryptographic execution layer. It wraps the project-approved post-quantum signature implementations from liboqs 0.12 and PQClean in a Rust crate, then produces two runtime forms: a WebAssembly package for browser signing and a native build for trusted backend or offline processes. A typed TypeScript package presents one stable API to the rest of the monorepo.</w:t>
      </w:r>
    </w:p>
    <w:p>
      <w:pPr/>
      <w:r>
        <w:t>In practical terms, M1 is where a canonical payload becomes a cryptographic signature and where a payload-signature-public-key tuple becomes a pass/fail verification result. Other modules may decide what is signed, who is allowed to sign, where an envelope is stored, or what a smart contract does with a result; M1 performs the cryptographic operation and supplies evidence that the implementation is correct and usable.</w:t>
      </w:r>
    </w:p>
    <w:p>
      <w:pPr>
        <w:pStyle w:val="Heading2"/>
        <w:keepNext/>
      </w:pPr>
      <w:r>
        <w:t>1.1 Meaning of the module name</w:t>
      </w:r>
    </w:p>
    <w:p>
      <w:pPr>
        <w:keepLines/>
        <w:spacing w:after="80" w:line="300" w:lineRule="auto"/>
        <w:ind w:left="317" w:firstLine="0"/>
      </w:pPr>
      <w:r>
        <w:t>PQ means post-quantum: signature algorithms designed to remain secure against attacks using large-scale quantum computers.</w:t>
      </w:r>
    </w:p>
    <w:p>
      <w:pPr>
        <w:keepLines/>
        <w:spacing w:after="80" w:line="300" w:lineRule="auto"/>
        <w:ind w:left="317" w:firstLine="0"/>
      </w:pPr>
      <w:r>
        <w:t>Core means this package is a shared foundation. Browser, service, oracle, administrator, custodian, and contract-integration code depend on it instead of implementing cryptography independently.</w:t>
      </w:r>
    </w:p>
    <w:p>
      <w:pPr>
        <w:keepLines/>
        <w:spacing w:after="80" w:line="300" w:lineRule="auto"/>
        <w:ind w:left="317" w:firstLine="0"/>
      </w:pPr>
      <w:r>
        <w:t>Module 1 means it is the first high-risk implementation module after the M0 repository baseline. It must be de-risked early because failures here propagate into every module that signs or verifies data.</w:t>
      </w:r>
    </w:p>
    <w:p>
      <w:pPr>
        <w:pStyle w:val="Heading2"/>
        <w:keepNext/>
      </w:pPr>
      <w:r>
        <w:t>1.2 Scope boundary</w:t>
      </w:r>
    </w:p>
    <w:p>
      <w:pPr/>
      <w:r>
        <w:t>M1 owns the following behavior:</w:t>
      </w:r>
    </w:p>
    <w:p>
      <w:pPr>
        <w:keepLines/>
        <w:spacing w:after="80" w:line="300" w:lineRule="auto"/>
        <w:ind w:left="317" w:firstLine="0"/>
      </w:pPr>
      <w:r>
        <w:t>Generate post-quantum public/private keypairs for each configured algorithm.</w:t>
      </w:r>
    </w:p>
    <w:p>
      <w:pPr>
        <w:keepLines/>
        <w:spacing w:after="80" w:line="300" w:lineRule="auto"/>
        <w:ind w:left="317" w:firstLine="0"/>
      </w:pPr>
      <w:r>
        <w:t>Sign an exact byte sequence with the correct private-key type.</w:t>
      </w:r>
    </w:p>
    <w:p>
      <w:pPr>
        <w:keepLines/>
        <w:spacing w:after="80" w:line="300" w:lineRule="auto"/>
        <w:ind w:left="317" w:firstLine="0"/>
      </w:pPr>
      <w:r>
        <w:t>Verify a signature against the exact byte sequence and public key.</w:t>
      </w:r>
    </w:p>
    <w:p>
      <w:pPr>
        <w:keepLines/>
        <w:spacing w:after="80" w:line="300" w:lineRule="auto"/>
        <w:ind w:left="317" w:firstLine="0"/>
      </w:pPr>
      <w:r>
        <w:t>Expose equivalent behavior from the browser WASM and native builds.</w:t>
      </w:r>
    </w:p>
    <w:p>
      <w:pPr>
        <w:keepLines/>
        <w:spacing w:after="80" w:line="300" w:lineRule="auto"/>
        <w:ind w:left="317" w:firstLine="0"/>
      </w:pPr>
      <w:r>
        <w:t>Prove conformance, measure performance and artifact sizes, and publish the Falcon on-chain verification gas result.</w:t>
      </w:r>
    </w:p>
    <w:p>
      <w:pPr/>
      <w:r>
        <w:t>M1 does not own canonical record/envelope design (M2), investor application screens, authorization policy, key-ceremony governance, custody business processes, or general smart-contract behavior. It provides the cryptographic primitives those modules call.</w:t>
      </w:r>
    </w:p>
    <w:p>
      <w:pPr>
        <w:pStyle w:val="Heading1"/>
        <w:keepNext/>
      </w:pPr>
      <w:r>
        <w:t>2. Physical Meaning of Module 1</w:t>
      </w:r>
    </w:p>
    <w:p>
      <w:pPr/>
      <w:r>
        <w:t>The physical meaning of M1 is not a conceptual security label. It is a set of real keys, byte arrays, executable binaries, and verification results that exist on specific machines and cross specific trust boundaries. For every signature event, M1 handles four physical artifacts:</w:t>
      </w:r>
    </w:p>
    <w:p>
      <w:pPr>
        <w:spacing w:after="120" w:line="300" w:lineRule="auto"/>
        <w:ind w:left="317" w:firstLine="0"/>
      </w:pPr>
      <w:r>
        <w:rPr>
          <w:b/>
        </w:rPr>
        <w:t>Private key.</w:t>
      </w:r>
      <w:r>
        <w:t xml:space="preserve"> Secret bytes generated for exactly one algorithm and role. The private key remains on the assigned device, trusted service, or offline root-key environment.</w:t>
      </w:r>
    </w:p>
    <w:p>
      <w:pPr>
        <w:spacing w:after="120" w:line="300" w:lineRule="auto"/>
        <w:ind w:left="317" w:firstLine="0"/>
      </w:pPr>
      <w:r>
        <w:rPr>
          <w:b/>
        </w:rPr>
        <w:t>Public key.</w:t>
      </w:r>
      <w:r>
        <w:t xml:space="preserve"> Non-secret bytes distributed to components that must verify the role's signatures.</w:t>
      </w:r>
    </w:p>
    <w:p>
      <w:pPr>
        <w:spacing w:after="120" w:line="300" w:lineRule="auto"/>
        <w:ind w:left="317" w:firstLine="0"/>
      </w:pPr>
      <w:r>
        <w:rPr>
          <w:b/>
        </w:rPr>
        <w:t>Message bytes.</w:t>
      </w:r>
      <w:r>
        <w:t xml:space="preserve"> The exact canonical bytes supplied by the caller. A one-byte change must invalidate the signature.</w:t>
      </w:r>
    </w:p>
    <w:p>
      <w:pPr>
        <w:spacing w:after="120" w:line="300" w:lineRule="auto"/>
        <w:ind w:left="317" w:firstLine="0"/>
      </w:pPr>
      <w:r>
        <w:rPr>
          <w:b/>
        </w:rPr>
        <w:t>Signature bytes.</w:t>
      </w:r>
      <w:r>
        <w:t xml:space="preserve"> The algorithm-specific output stored or transported by higher modules and checked by native, WASM, or dispute-path verification.</w:t>
      </w:r>
    </w:p>
    <w:p>
      <w:pPr>
        <w:pStyle w:val="Heading2"/>
        <w:keepNext/>
      </w:pPr>
      <w:r>
        <w:t>2.1 Physical execution flow</w:t>
      </w:r>
    </w:p>
    <w:p>
      <w:pPr>
        <w:spacing w:after="120" w:line="300" w:lineRule="auto"/>
        <w:ind w:left="317" w:firstLine="0"/>
      </w:pPr>
      <w:r>
        <w:rPr>
          <w:b/>
        </w:rPr>
        <w:t>Key generation.</w:t>
      </w:r>
      <w:r>
        <w:t xml:space="preserve"> M1 asks the algorithm implementation for a keypair using an approved cryptographic random source. It returns encoded key material with an explicit algorithm identifier.</w:t>
      </w:r>
    </w:p>
    <w:p>
      <w:pPr>
        <w:spacing w:after="120" w:line="300" w:lineRule="auto"/>
        <w:ind w:left="317" w:firstLine="0"/>
      </w:pPr>
      <w:r>
        <w:rPr>
          <w:b/>
        </w:rPr>
        <w:t>Key placement.</w:t>
      </w:r>
      <w:r>
        <w:t xml:space="preserve"> The caller persists the private key in the correct trust zone. For Falcon investor-device signing, the key is generated and used client-side so raw private-key bytes do not leave the device. For the SLH-DSA root role, use is offline and governed by the later key-ceremony process.</w:t>
      </w:r>
    </w:p>
    <w:p>
      <w:pPr>
        <w:spacing w:after="120" w:line="300" w:lineRule="auto"/>
        <w:ind w:left="317" w:firstLine="0"/>
      </w:pPr>
      <w:r>
        <w:rPr>
          <w:b/>
        </w:rPr>
        <w:t>Signing.</w:t>
      </w:r>
      <w:r>
        <w:t xml:space="preserve"> The caller gives M1 canonical message bytes and a private key. M1 checks the algorithm/key match, signs the unchanged bytes, and returns signature bytes plus enough metadata for the caller to construct its envelope.</w:t>
      </w:r>
    </w:p>
    <w:p>
      <w:pPr>
        <w:spacing w:after="120" w:line="300" w:lineRule="auto"/>
        <w:ind w:left="317" w:firstLine="0"/>
      </w:pPr>
      <w:r>
        <w:rPr>
          <w:b/>
        </w:rPr>
        <w:t>Verification.</w:t>
      </w:r>
      <w:r>
        <w:t xml:space="preserve"> M1 receives the same message bytes, public key, signature, and algorithm identifier. It returns a deterministic valid/invalid result and a structured error for malformed input.</w:t>
      </w:r>
    </w:p>
    <w:p>
      <w:pPr>
        <w:spacing w:after="120" w:line="300" w:lineRule="auto"/>
        <w:ind w:left="317" w:firstLine="0"/>
      </w:pPr>
      <w:r>
        <w:rPr>
          <w:b/>
        </w:rPr>
        <w:t>Dispute verification.</w:t>
      </w:r>
      <w:r>
        <w:t xml:space="preserve"> If a Falcon signature must be adjudicated on Ethereum, the project-specific message/public-key/signature encoding is supplied to the ETHFALCON Solidity verifier. The integration proves correctness and measures gas before the dispute path is accepted.</w:t>
      </w:r>
    </w:p>
    <w:tbl>
      <w:tblPr>
        <w:tblW w:type="dxa" w:w="9360"/>
        <w:jc w:val="left"/>
        <w:tblLayout w:type="fixed"/>
        <w:tblLook w:firstColumn="1" w:firstRow="1" w:lastColumn="0" w:lastRow="0" w:noHBand="0" w:noVBand="1" w:val="04A0"/>
        <w:tblInd w:w="180" w:type="dxa"/>
        <w:tblBorders>
          <w:top w:val="single" w:sz="8" w:space="0" w:color="8A6500"/>
          <w:left w:val="single" w:sz="8" w:space="0" w:color="8A6500"/>
          <w:bottom w:val="single" w:sz="8" w:space="0" w:color="8A6500"/>
          <w:right w:val="single" w:sz="8" w:space="0" w:color="8A6500"/>
          <w:insideH w:val="single" w:sz="8" w:space="0" w:color="8A6500"/>
          <w:insideV w:val="single" w:sz="8" w:space="0" w:color="8A6500"/>
        </w:tblBorders>
      </w:tblPr>
      <w:tblGrid>
        <w:gridCol w:w="9360"/>
      </w:tblGrid>
      <w:tr>
        <w:tc>
          <w:tcPr>
            <w:tcW w:type="dxa" w:w="9360"/>
            <w:vAlign w:val="center"/>
            <w:tcMar>
              <w:top w:w="140" w:type="dxa"/>
              <w:start w:w="180" w:type="dxa"/>
              <w:bottom w:w="140" w:type="dxa"/>
              <w:end w:w="180" w:type="dxa"/>
            </w:tcMar>
            <w:shd w:fill="FFF8E6"/>
          </w:tcPr>
          <w:p>
            <w:pPr>
              <w:spacing w:after="0" w:line="283" w:lineRule="auto"/>
            </w:pPr>
            <w:r>
              <w:rPr>
                <w:rFonts w:ascii="Calibri" w:hAnsi="Calibri"/>
                <w:b/>
                <w:color w:val="8A6500"/>
                <w:sz w:val="21"/>
              </w:rPr>
              <w:t xml:space="preserve">Critical invariant: </w:t>
            </w:r>
            <w:r>
              <w:rPr>
                <w:rFonts w:ascii="Calibri" w:hAnsi="Calibri"/>
                <w:color w:val="18324A"/>
                <w:sz w:val="21"/>
              </w:rPr>
              <w:t>M1 signs bytes, not business objects. JSON objects must be canonicalized by the owning record/envelope module before they enter PQ Core. M1 must never silently re-serialize, normalize, trim, hash differently, or alter the caller's message.</w:t>
            </w:r>
          </w:p>
        </w:tc>
      </w:tr>
    </w:tbl>
    <w:p>
      <w:pPr>
        <w:spacing w:after="40" w:line="40" w:lineRule="exact"/>
      </w:pPr>
    </w:p>
    <w:p>
      <w:pPr>
        <w:pStyle w:val="Heading1"/>
        <w:keepNext/>
      </w:pPr>
      <w:r>
        <w:t>3. Why Module 1 Is Needed</w:t>
      </w:r>
    </w:p>
    <w:p>
      <w:pPr>
        <w:keepLines/>
        <w:spacing w:after="80" w:line="300" w:lineRule="auto"/>
        <w:ind w:left="317" w:firstLine="0"/>
      </w:pPr>
      <w:r>
        <w:t>It gives RWA-Vault a single, testable post-quantum signature implementation instead of separate cryptographic code in every application and service.</w:t>
      </w:r>
    </w:p>
    <w:p>
      <w:pPr>
        <w:keepLines/>
        <w:spacing w:after="80" w:line="300" w:lineRule="auto"/>
        <w:ind w:left="317" w:firstLine="0"/>
      </w:pPr>
      <w:r>
        <w:t>It enforces key separation by assigning each algorithm to a specific role, reducing accidental key reuse across investor, oracle, service, and root-security domains.</w:t>
      </w:r>
    </w:p>
    <w:p>
      <w:pPr>
        <w:keepLines/>
        <w:spacing w:after="80" w:line="300" w:lineRule="auto"/>
        <w:ind w:left="317" w:firstLine="0"/>
      </w:pPr>
      <w:r>
        <w:t>It enables local investor-device signing. The Falcon private key can remain on the user's device while the browser receives only a WASM signer and returns public data plus signatures.</w:t>
      </w:r>
    </w:p>
    <w:p>
      <w:pPr>
        <w:keepLines/>
        <w:spacing w:after="80" w:line="300" w:lineRule="auto"/>
        <w:ind w:left="317" w:firstLine="0"/>
      </w:pPr>
      <w:r>
        <w:t>It gives backend roles a native implementation appropriate for custodian, oracle, administrator, and service workloads without routing private keys through the browser.</w:t>
      </w:r>
    </w:p>
    <w:p>
      <w:pPr>
        <w:keepLines/>
        <w:spacing w:after="80" w:line="300" w:lineRule="auto"/>
        <w:ind w:left="317" w:firstLine="0"/>
      </w:pPr>
      <w:r>
        <w:t>It produces conformance and benchmark evidence before dependent modules commit to message formats, storage limits, transaction designs, and user-experience latency budgets.</w:t>
      </w:r>
    </w:p>
    <w:p>
      <w:pPr>
        <w:keepLines/>
        <w:spacing w:after="80" w:line="300" w:lineRule="auto"/>
        <w:ind w:left="317" w:firstLine="0"/>
      </w:pPr>
      <w:r>
        <w:t>It establishes whether Falcon verification is economically viable in the exceptional on-chain dispute path, rather than assuming a Solidity verifier is affordable.</w:t>
      </w:r>
    </w:p>
    <w:p>
      <w:pPr>
        <w:pStyle w:val="Heading1"/>
        <w:keepNext/>
        <w:pageBreakBefore/>
      </w:pPr>
      <w:r>
        <w:t>4. Exact Algorithm and Role Allocation</w:t>
      </w:r>
    </w:p>
    <w:p>
      <w:pPr/>
      <w:r>
        <w:t>The current project package exposes four algorithm identifiers. Each must remain bound to its intended security role unless an architecture decision record changes the allocation.</w:t>
      </w:r>
    </w:p>
    <w:tbl>
      <w:tblPr>
        <w:tblW w:type="dxa" w:w="9360"/>
        <w:tblLayout w:type="fixed"/>
        <w:tblLook w:firstColumn="1" w:firstRow="1" w:lastColumn="0" w:lastRow="0" w:noHBand="0" w:noVBand="1" w:val="04A0"/>
        <w:jc w:val="left"/>
        <w:tblInd w:w="120" w:type="dxa"/>
        <w:tblBorders>
          <w:top w:val="single" w:sz="6" w:space="0" w:color="B8C4D1"/>
          <w:left w:val="single" w:sz="6" w:space="0" w:color="B8C4D1"/>
          <w:bottom w:val="single" w:sz="6" w:space="0" w:color="B8C4D1"/>
          <w:right w:val="single" w:sz="6" w:space="0" w:color="B8C4D1"/>
          <w:insideH w:val="single" w:sz="6" w:space="0" w:color="B8C4D1"/>
          <w:insideV w:val="single" w:sz="6" w:space="0" w:color="B8C4D1"/>
        </w:tblBorders>
      </w:tblPr>
      <w:tblGrid>
        <w:gridCol w:w="1500"/>
        <w:gridCol w:w="1900"/>
        <w:gridCol w:w="1220"/>
        <w:gridCol w:w="2500"/>
        <w:gridCol w:w="2240"/>
      </w:tblGrid>
      <w:tr>
        <w:trPr>
          <w:tblHeader w:val="true"/>
          <w:cantSplit w:val="true"/>
        </w:trPr>
        <w:tc>
          <w:tcPr>
            <w:tcW w:type="dxa" w:w="1500"/>
            <w:vAlign w:val="center"/>
            <w:tcMar>
              <w:top w:w="80" w:type="dxa"/>
              <w:start w:w="120" w:type="dxa"/>
              <w:bottom w:w="80" w:type="dxa"/>
              <w:end w:w="120" w:type="dxa"/>
            </w:tcMar>
            <w:shd w:fill="E8EEF5"/>
          </w:tcPr>
          <w:p>
            <w:pPr>
              <w:spacing w:after="0" w:line="252" w:lineRule="auto"/>
              <w:jc w:val="left"/>
            </w:pPr>
            <w:r>
              <w:rPr>
                <w:rFonts w:ascii="Calibri" w:hAnsi="Calibri"/>
                <w:b/>
                <w:color w:val="18324A"/>
                <w:sz w:val="18"/>
              </w:rPr>
              <w:t>Algorithm ID</w:t>
            </w:r>
          </w:p>
        </w:tc>
        <w:tc>
          <w:tcPr>
            <w:tcW w:type="dxa" w:w="1900"/>
            <w:vAlign w:val="center"/>
            <w:tcMar>
              <w:top w:w="80" w:type="dxa"/>
              <w:start w:w="120" w:type="dxa"/>
              <w:bottom w:w="80" w:type="dxa"/>
              <w:end w:w="120" w:type="dxa"/>
            </w:tcMar>
            <w:shd w:fill="E8EEF5"/>
          </w:tcPr>
          <w:p>
            <w:pPr>
              <w:spacing w:after="0" w:line="252" w:lineRule="auto"/>
              <w:jc w:val="left"/>
            </w:pPr>
            <w:r>
              <w:rPr>
                <w:rFonts w:ascii="Calibri" w:hAnsi="Calibri"/>
                <w:b/>
                <w:color w:val="18324A"/>
                <w:sz w:val="18"/>
              </w:rPr>
              <w:t>Project role</w:t>
            </w:r>
          </w:p>
        </w:tc>
        <w:tc>
          <w:tcPr>
            <w:tcW w:type="dxa" w:w="1220"/>
            <w:vAlign w:val="center"/>
            <w:tcMar>
              <w:top w:w="80" w:type="dxa"/>
              <w:start w:w="120" w:type="dxa"/>
              <w:bottom w:w="80" w:type="dxa"/>
              <w:end w:w="120" w:type="dxa"/>
            </w:tcMar>
            <w:shd w:fill="E8EEF5"/>
          </w:tcPr>
          <w:p>
            <w:pPr>
              <w:spacing w:after="0" w:line="252" w:lineRule="auto"/>
              <w:jc w:val="left"/>
            </w:pPr>
            <w:r>
              <w:rPr>
                <w:rFonts w:ascii="Calibri" w:hAnsi="Calibri"/>
                <w:b/>
                <w:color w:val="18324A"/>
                <w:sz w:val="18"/>
              </w:rPr>
              <w:t>Runtime</w:t>
            </w:r>
          </w:p>
        </w:tc>
        <w:tc>
          <w:tcPr>
            <w:tcW w:type="dxa" w:w="2500"/>
            <w:vAlign w:val="center"/>
            <w:tcMar>
              <w:top w:w="80" w:type="dxa"/>
              <w:start w:w="120" w:type="dxa"/>
              <w:bottom w:w="80" w:type="dxa"/>
              <w:end w:w="120" w:type="dxa"/>
            </w:tcMar>
            <w:shd w:fill="E8EEF5"/>
          </w:tcPr>
          <w:p>
            <w:pPr>
              <w:spacing w:after="0" w:line="252" w:lineRule="auto"/>
              <w:jc w:val="left"/>
            </w:pPr>
            <w:r>
              <w:rPr>
                <w:rFonts w:ascii="Calibri" w:hAnsi="Calibri"/>
                <w:b/>
                <w:color w:val="18324A"/>
                <w:sz w:val="18"/>
              </w:rPr>
              <w:t>Private-key location</w:t>
            </w:r>
          </w:p>
        </w:tc>
        <w:tc>
          <w:tcPr>
            <w:tcW w:type="dxa" w:w="2240"/>
            <w:vAlign w:val="center"/>
            <w:tcMar>
              <w:top w:w="80" w:type="dxa"/>
              <w:start w:w="120" w:type="dxa"/>
              <w:bottom w:w="80" w:type="dxa"/>
              <w:end w:w="120" w:type="dxa"/>
            </w:tcMar>
            <w:shd w:fill="E8EEF5"/>
          </w:tcPr>
          <w:p>
            <w:pPr>
              <w:spacing w:after="0" w:line="252" w:lineRule="auto"/>
              <w:jc w:val="left"/>
            </w:pPr>
            <w:r>
              <w:rPr>
                <w:rFonts w:ascii="Calibri" w:hAnsi="Calibri"/>
                <w:b/>
                <w:color w:val="18324A"/>
                <w:sz w:val="18"/>
              </w:rPr>
              <w:t>Primary verification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color w:val="222222"/>
                <w:sz w:val="16"/>
              </w:rPr>
              <w:t>falcon-512</w:t>
            </w:r>
          </w:p>
        </w:tc>
        <w:tc>
          <w:tcPr>
            <w:tcW w:type="dxa" w:w="1900"/>
            <w:vAlign w:val="center"/>
            <w:tcMar>
              <w:top w:w="80" w:type="dxa"/>
              <w:start w:w="120" w:type="dxa"/>
              <w:bottom w:w="80" w:type="dxa"/>
              <w:end w:w="120" w:type="dxa"/>
            </w:tcMar>
          </w:tcPr>
          <w:p>
            <w:pPr>
              <w:spacing w:after="0" w:line="259" w:lineRule="auto"/>
            </w:pPr>
            <w:r>
              <w:rPr>
                <w:rFonts w:ascii="Calibri" w:hAnsi="Calibri"/>
                <w:color w:val="222222"/>
                <w:sz w:val="16"/>
              </w:rPr>
              <w:t>Investor device signing</w:t>
            </w:r>
          </w:p>
        </w:tc>
        <w:tc>
          <w:tcPr>
            <w:tcW w:type="dxa" w:w="1220"/>
            <w:vAlign w:val="center"/>
            <w:tcMar>
              <w:top w:w="80" w:type="dxa"/>
              <w:start w:w="120" w:type="dxa"/>
              <w:bottom w:w="80" w:type="dxa"/>
              <w:end w:w="120" w:type="dxa"/>
            </w:tcMar>
          </w:tcPr>
          <w:p>
            <w:pPr>
              <w:spacing w:after="0" w:line="259" w:lineRule="auto"/>
            </w:pPr>
            <w:r>
              <w:rPr>
                <w:rFonts w:ascii="Calibri" w:hAnsi="Calibri"/>
                <w:color w:val="222222"/>
                <w:sz w:val="16"/>
              </w:rPr>
              <w:t>Browser WASM</w:t>
            </w:r>
          </w:p>
        </w:tc>
        <w:tc>
          <w:tcPr>
            <w:tcW w:type="dxa" w:w="2500"/>
            <w:vAlign w:val="center"/>
            <w:tcMar>
              <w:top w:w="80" w:type="dxa"/>
              <w:start w:w="120" w:type="dxa"/>
              <w:bottom w:w="80" w:type="dxa"/>
              <w:end w:w="120" w:type="dxa"/>
            </w:tcMar>
          </w:tcPr>
          <w:p>
            <w:pPr>
              <w:spacing w:after="0" w:line="259" w:lineRule="auto"/>
            </w:pPr>
            <w:r>
              <w:rPr>
                <w:rFonts w:ascii="Calibri" w:hAnsi="Calibri"/>
                <w:color w:val="222222"/>
                <w:sz w:val="16"/>
              </w:rPr>
              <w:t>Investor device; never sent to an RWA-Vault service</w:t>
            </w:r>
          </w:p>
        </w:tc>
        <w:tc>
          <w:tcPr>
            <w:tcW w:type="dxa" w:w="2240"/>
            <w:vAlign w:val="center"/>
            <w:tcMar>
              <w:top w:w="80" w:type="dxa"/>
              <w:start w:w="120" w:type="dxa"/>
              <w:bottom w:w="80" w:type="dxa"/>
              <w:end w:w="120" w:type="dxa"/>
            </w:tcMar>
          </w:tcPr>
          <w:p>
            <w:pPr>
              <w:spacing w:after="0" w:line="259" w:lineRule="auto"/>
            </w:pPr>
            <w:r>
              <w:rPr>
                <w:rFonts w:ascii="Calibri" w:hAnsi="Calibri"/>
                <w:color w:val="222222"/>
                <w:sz w:val="16"/>
              </w:rPr>
              <w:t>WASM/native; ETHFALCON only for dispute adjudication</w:t>
            </w:r>
          </w:p>
        </w:tc>
      </w:tr>
      <w:tr>
        <w:trPr>
          <w:cantSplit w:val="true"/>
        </w:trPr>
        <w:tc>
          <w:tcPr>
            <w:tcW w:type="dxa" w:w="1500"/>
            <w:shd w:fill="F7F9FB"/>
            <w:vAlign w:val="center"/>
            <w:tcMar>
              <w:top w:w="80" w:type="dxa"/>
              <w:start w:w="120" w:type="dxa"/>
              <w:bottom w:w="80" w:type="dxa"/>
              <w:end w:w="120" w:type="dxa"/>
            </w:tcMar>
          </w:tcPr>
          <w:p>
            <w:pPr>
              <w:spacing w:after="0" w:line="259" w:lineRule="auto"/>
            </w:pPr>
            <w:r>
              <w:rPr>
                <w:rFonts w:ascii="Calibri" w:hAnsi="Calibri"/>
                <w:color w:val="222222"/>
                <w:sz w:val="16"/>
              </w:rPr>
              <w:t>ml-dsa-44</w:t>
            </w:r>
          </w:p>
        </w:tc>
        <w:tc>
          <w:tcPr>
            <w:tcW w:type="dxa" w:w="1900"/>
            <w:shd w:fill="F7F9FB"/>
            <w:vAlign w:val="center"/>
            <w:tcMar>
              <w:top w:w="80" w:type="dxa"/>
              <w:start w:w="120" w:type="dxa"/>
              <w:bottom w:w="80" w:type="dxa"/>
              <w:end w:w="120" w:type="dxa"/>
            </w:tcMar>
          </w:tcPr>
          <w:p>
            <w:pPr>
              <w:spacing w:after="0" w:line="259" w:lineRule="auto"/>
            </w:pPr>
            <w:r>
              <w:rPr>
                <w:rFonts w:ascii="Calibri" w:hAnsi="Calibri"/>
                <w:color w:val="222222"/>
                <w:sz w:val="16"/>
              </w:rPr>
              <w:t>Oracle round signing</w:t>
            </w:r>
          </w:p>
        </w:tc>
        <w:tc>
          <w:tcPr>
            <w:tcW w:type="dxa" w:w="1220"/>
            <w:shd w:fill="F7F9FB"/>
            <w:vAlign w:val="center"/>
            <w:tcMar>
              <w:top w:w="80" w:type="dxa"/>
              <w:start w:w="120" w:type="dxa"/>
              <w:bottom w:w="80" w:type="dxa"/>
              <w:end w:w="120" w:type="dxa"/>
            </w:tcMar>
          </w:tcPr>
          <w:p>
            <w:pPr>
              <w:spacing w:after="0" w:line="259" w:lineRule="auto"/>
            </w:pPr>
            <w:r>
              <w:rPr>
                <w:rFonts w:ascii="Calibri" w:hAnsi="Calibri"/>
                <w:color w:val="222222"/>
                <w:sz w:val="16"/>
              </w:rPr>
              <w:t>Native service</w:t>
            </w:r>
          </w:p>
        </w:tc>
        <w:tc>
          <w:tcPr>
            <w:tcW w:type="dxa" w:w="2500"/>
            <w:shd w:fill="F7F9FB"/>
            <w:vAlign w:val="center"/>
            <w:tcMar>
              <w:top w:w="80" w:type="dxa"/>
              <w:start w:w="120" w:type="dxa"/>
              <w:bottom w:w="80" w:type="dxa"/>
              <w:end w:w="120" w:type="dxa"/>
            </w:tcMar>
          </w:tcPr>
          <w:p>
            <w:pPr>
              <w:spacing w:after="0" w:line="259" w:lineRule="auto"/>
            </w:pPr>
            <w:r>
              <w:rPr>
                <w:rFonts w:ascii="Calibri" w:hAnsi="Calibri"/>
                <w:color w:val="222222"/>
                <w:sz w:val="16"/>
              </w:rPr>
              <w:t>Oracle signer trust boundary</w:t>
            </w:r>
          </w:p>
        </w:tc>
        <w:tc>
          <w:tcPr>
            <w:tcW w:type="dxa" w:w="2240"/>
            <w:shd w:fill="F7F9FB"/>
            <w:vAlign w:val="center"/>
            <w:tcMar>
              <w:top w:w="80" w:type="dxa"/>
              <w:start w:w="120" w:type="dxa"/>
              <w:bottom w:w="80" w:type="dxa"/>
              <w:end w:w="120" w:type="dxa"/>
            </w:tcMar>
          </w:tcPr>
          <w:p>
            <w:pPr>
              <w:spacing w:after="0" w:line="259" w:lineRule="auto"/>
            </w:pPr>
            <w:r>
              <w:rPr>
                <w:rFonts w:ascii="Calibri" w:hAnsi="Calibri"/>
                <w:color w:val="222222"/>
                <w:sz w:val="16"/>
              </w:rPr>
              <w:t>Native service verification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color w:val="222222"/>
                <w:sz w:val="16"/>
              </w:rPr>
              <w:t>ml-dsa-65</w:t>
            </w:r>
          </w:p>
        </w:tc>
        <w:tc>
          <w:tcPr>
            <w:tcW w:type="dxa" w:w="1900"/>
            <w:vAlign w:val="center"/>
            <w:tcMar>
              <w:top w:w="80" w:type="dxa"/>
              <w:start w:w="120" w:type="dxa"/>
              <w:bottom w:w="80" w:type="dxa"/>
              <w:end w:w="120" w:type="dxa"/>
            </w:tcMar>
          </w:tcPr>
          <w:p>
            <w:pPr>
              <w:spacing w:after="0" w:line="259" w:lineRule="auto"/>
            </w:pPr>
            <w:r>
              <w:rPr>
                <w:rFonts w:ascii="Calibri" w:hAnsi="Calibri"/>
                <w:color w:val="222222"/>
                <w:sz w:val="16"/>
              </w:rPr>
              <w:t>Service-to-contract and privileged service operations</w:t>
            </w:r>
          </w:p>
        </w:tc>
        <w:tc>
          <w:tcPr>
            <w:tcW w:type="dxa" w:w="1220"/>
            <w:vAlign w:val="center"/>
            <w:tcMar>
              <w:top w:w="80" w:type="dxa"/>
              <w:start w:w="120" w:type="dxa"/>
              <w:bottom w:w="80" w:type="dxa"/>
              <w:end w:w="120" w:type="dxa"/>
            </w:tcMar>
          </w:tcPr>
          <w:p>
            <w:pPr>
              <w:spacing w:after="0" w:line="259" w:lineRule="auto"/>
            </w:pPr>
            <w:r>
              <w:rPr>
                <w:rFonts w:ascii="Calibri" w:hAnsi="Calibri"/>
                <w:color w:val="222222"/>
                <w:sz w:val="16"/>
              </w:rPr>
              <w:t>Native service</w:t>
            </w:r>
          </w:p>
        </w:tc>
        <w:tc>
          <w:tcPr>
            <w:tcW w:type="dxa" w:w="2500"/>
            <w:vAlign w:val="center"/>
            <w:tcMar>
              <w:top w:w="80" w:type="dxa"/>
              <w:start w:w="120" w:type="dxa"/>
              <w:bottom w:w="80" w:type="dxa"/>
              <w:end w:w="120" w:type="dxa"/>
            </w:tcMar>
          </w:tcPr>
          <w:p>
            <w:pPr>
              <w:spacing w:after="0" w:line="259" w:lineRule="auto"/>
            </w:pPr>
            <w:r>
              <w:rPr>
                <w:rFonts w:ascii="Calibri" w:hAnsi="Calibri"/>
                <w:color w:val="222222"/>
                <w:sz w:val="16"/>
              </w:rPr>
              <w:t>Custodian/admin/service signer boundary</w:t>
            </w:r>
          </w:p>
        </w:tc>
        <w:tc>
          <w:tcPr>
            <w:tcW w:type="dxa" w:w="2240"/>
            <w:vAlign w:val="center"/>
            <w:tcMar>
              <w:top w:w="80" w:type="dxa"/>
              <w:start w:w="120" w:type="dxa"/>
              <w:bottom w:w="80" w:type="dxa"/>
              <w:end w:w="120" w:type="dxa"/>
            </w:tcMar>
          </w:tcPr>
          <w:p>
            <w:pPr>
              <w:spacing w:after="0" w:line="259" w:lineRule="auto"/>
            </w:pPr>
            <w:r>
              <w:rPr>
                <w:rFonts w:ascii="Calibri" w:hAnsi="Calibri"/>
                <w:color w:val="222222"/>
                <w:sz w:val="16"/>
              </w:rPr>
              <w:t>Native verification before contract submission</w:t>
            </w:r>
          </w:p>
        </w:tc>
      </w:tr>
      <w:tr>
        <w:trPr>
          <w:cantSplit w:val="true"/>
        </w:trPr>
        <w:tc>
          <w:tcPr>
            <w:tcW w:type="dxa" w:w="1500"/>
            <w:shd w:fill="F7F9FB"/>
            <w:vAlign w:val="center"/>
            <w:tcMar>
              <w:top w:w="80" w:type="dxa"/>
              <w:start w:w="120" w:type="dxa"/>
              <w:bottom w:w="80" w:type="dxa"/>
              <w:end w:w="120" w:type="dxa"/>
            </w:tcMar>
          </w:tcPr>
          <w:p>
            <w:pPr>
              <w:spacing w:after="0" w:line="259" w:lineRule="auto"/>
            </w:pPr>
            <w:r>
              <w:rPr>
                <w:rFonts w:ascii="Calibri" w:hAnsi="Calibri"/>
                <w:color w:val="222222"/>
                <w:sz w:val="16"/>
              </w:rPr>
              <w:t>slh-dsa-sha2-128s</w:t>
            </w:r>
          </w:p>
        </w:tc>
        <w:tc>
          <w:tcPr>
            <w:tcW w:type="dxa" w:w="1900"/>
            <w:shd w:fill="F7F9FB"/>
            <w:vAlign w:val="center"/>
            <w:tcMar>
              <w:top w:w="80" w:type="dxa"/>
              <w:start w:w="120" w:type="dxa"/>
              <w:bottom w:w="80" w:type="dxa"/>
              <w:end w:w="120" w:type="dxa"/>
            </w:tcMar>
          </w:tcPr>
          <w:p>
            <w:pPr>
              <w:spacing w:after="0" w:line="259" w:lineRule="auto"/>
            </w:pPr>
            <w:r>
              <w:rPr>
                <w:rFonts w:ascii="Calibri" w:hAnsi="Calibri"/>
                <w:color w:val="222222"/>
                <w:sz w:val="16"/>
              </w:rPr>
              <w:t>Offline root signature</w:t>
            </w:r>
          </w:p>
        </w:tc>
        <w:tc>
          <w:tcPr>
            <w:tcW w:type="dxa" w:w="1220"/>
            <w:shd w:fill="F7F9FB"/>
            <w:vAlign w:val="center"/>
            <w:tcMar>
              <w:top w:w="80" w:type="dxa"/>
              <w:start w:w="120" w:type="dxa"/>
              <w:bottom w:w="80" w:type="dxa"/>
              <w:end w:w="120" w:type="dxa"/>
            </w:tcMar>
          </w:tcPr>
          <w:p>
            <w:pPr>
              <w:spacing w:after="0" w:line="259" w:lineRule="auto"/>
            </w:pPr>
            <w:r>
              <w:rPr>
                <w:rFonts w:ascii="Calibri" w:hAnsi="Calibri"/>
                <w:color w:val="222222"/>
                <w:sz w:val="16"/>
              </w:rPr>
              <w:t>Native/offline</w:t>
            </w:r>
          </w:p>
        </w:tc>
        <w:tc>
          <w:tcPr>
            <w:tcW w:type="dxa" w:w="2500"/>
            <w:shd w:fill="F7F9FB"/>
            <w:vAlign w:val="center"/>
            <w:tcMar>
              <w:top w:w="80" w:type="dxa"/>
              <w:start w:w="120" w:type="dxa"/>
              <w:bottom w:w="80" w:type="dxa"/>
              <w:end w:w="120" w:type="dxa"/>
            </w:tcMar>
          </w:tcPr>
          <w:p>
            <w:pPr>
              <w:spacing w:after="0" w:line="259" w:lineRule="auto"/>
            </w:pPr>
            <w:r>
              <w:rPr>
                <w:rFonts w:ascii="Calibri" w:hAnsi="Calibri"/>
                <w:color w:val="222222"/>
                <w:sz w:val="16"/>
              </w:rPr>
              <w:t>Offline root-key environment and ceremony</w:t>
            </w:r>
          </w:p>
        </w:tc>
        <w:tc>
          <w:tcPr>
            <w:tcW w:type="dxa" w:w="2240"/>
            <w:shd w:fill="F7F9FB"/>
            <w:vAlign w:val="center"/>
            <w:tcMar>
              <w:top w:w="80" w:type="dxa"/>
              <w:start w:w="120" w:type="dxa"/>
              <w:bottom w:w="80" w:type="dxa"/>
              <w:end w:w="120" w:type="dxa"/>
            </w:tcMar>
          </w:tcPr>
          <w:p>
            <w:pPr>
              <w:spacing w:after="0" w:line="259" w:lineRule="auto"/>
            </w:pPr>
            <w:r>
              <w:rPr>
                <w:rFonts w:ascii="Calibri" w:hAnsi="Calibri"/>
                <w:color w:val="222222"/>
                <w:sz w:val="16"/>
              </w:rPr>
              <w:t>Native verification by trusted services</w:t>
            </w:r>
          </w:p>
        </w:tc>
      </w:tr>
    </w:tbl>
    <w:p>
      <w:pPr>
        <w:spacing w:after="40" w:line="40" w:lineRule="exact"/>
      </w:pPr>
    </w:p>
    <w:p>
      <w:pPr/>
      <w:r>
        <w:t>Standards note: the package documentation maps ML-DSA to FIPS 204 and SLH-DSA to FIPS 205. Falcon-512 is currently consumed from liboqs and is marked in the repository as expected for a future FIPS 206. Production release criteria must therefore track Falcon's actual standardization and implementation status instead of presenting it as an already-final FIPS standard.</w:t>
      </w:r>
    </w:p>
    <w:p>
      <w:pPr>
        <w:pStyle w:val="Heading1"/>
        <w:keepNext/>
      </w:pPr>
      <w:r>
        <w:t>5. Tasks of Module 1</w:t>
      </w:r>
    </w:p>
    <w:p>
      <w:pPr>
        <w:pStyle w:val="Heading2"/>
        <w:keepNext/>
      </w:pPr>
      <w:r>
        <w:t>5.1 Build the Rust cryptographic crate</w:t>
      </w:r>
    </w:p>
    <w:p>
      <w:pPr>
        <w:keepLines/>
        <w:spacing w:after="80" w:line="300" w:lineRule="auto"/>
        <w:ind w:left="317" w:firstLine="0"/>
      </w:pPr>
      <w:r>
        <w:t>Create packages/pq-core/native/Cargo.toml and packages/pq-core/native/src/lib.rs. The current repository pins a Rust toolchain but does not yet contain a Cargo crate.</w:t>
      </w:r>
    </w:p>
    <w:p>
      <w:pPr>
        <w:keepLines/>
        <w:spacing w:after="80" w:line="300" w:lineRule="auto"/>
        <w:ind w:left="317" w:firstLine="0"/>
      </w:pPr>
      <w:r>
        <w:t>Bind to liboqs 0.12/PQClean for Falcon-512, ML-DSA-44, ML-DSA-65, and SLH-DSA-SHA2-128s using one reviewed dependency strategy.</w:t>
      </w:r>
    </w:p>
    <w:p>
      <w:pPr>
        <w:keepLines/>
        <w:spacing w:after="80" w:line="300" w:lineRule="auto"/>
        <w:ind w:left="317" w:firstLine="0"/>
      </w:pPr>
      <w:r>
        <w:t>Implement algorithm dispatch, key generation, signing, verification, structured errors, input-length checks, and stable byte-oriented types.</w:t>
      </w:r>
    </w:p>
    <w:p>
      <w:pPr>
        <w:keepLines/>
        <w:spacing w:after="80" w:line="300" w:lineRule="auto"/>
        <w:ind w:left="317" w:firstLine="0"/>
      </w:pPr>
      <w:r>
        <w:t>Prevent private-key material from appearing in logs or error messages and clear temporary secret buffers where supported.</w:t>
      </w:r>
    </w:p>
    <w:p>
      <w:pPr>
        <w:pStyle w:val="Heading2"/>
        <w:keepNext/>
      </w:pPr>
      <w:r>
        <w:t>5.2 Define the stable PQ Core API</w:t>
      </w:r>
    </w:p>
    <w:p>
      <w:pPr/>
      <w:r>
        <w:t>The native and WASM adapters must implement the same conceptual contract:</w:t>
      </w:r>
    </w:p>
    <w:tbl>
      <w:tblPr>
        <w:tblW w:type="dxa" w:w="9360"/>
        <w:jc w:val="left"/>
        <w:tblLayout w:type="fixed"/>
        <w:tblLook w:firstColumn="1" w:firstRow="1" w:lastColumn="0" w:lastRow="0" w:noHBand="0" w:noVBand="1" w:val="04A0"/>
        <w:tblInd w:w="180" w:type="dxa"/>
        <w:tblBorders>
          <w:top w:val="single" w:sz="4" w:space="0" w:color="D6DCE3"/>
          <w:left w:val="single" w:sz="4" w:space="0" w:color="D6DCE3"/>
          <w:bottom w:val="single" w:sz="4" w:space="0" w:color="D6DCE3"/>
          <w:right w:val="single" w:sz="4" w:space="0" w:color="D6DCE3"/>
          <w:insideH w:val="single" w:sz="4" w:space="0" w:color="D6DCE3"/>
          <w:insideV w:val="single" w:sz="4" w:space="0" w:color="D6DCE3"/>
        </w:tblBorders>
      </w:tblPr>
      <w:tblGrid>
        <w:gridCol w:w="9360"/>
      </w:tblGrid>
      <w:tr>
        <w:tc>
          <w:tcPr>
            <w:tcW w:type="dxa" w:w="9360"/>
            <w:vAlign w:val="center"/>
            <w:tcMar>
              <w:top w:w="140" w:type="dxa"/>
              <w:start w:w="180" w:type="dxa"/>
              <w:bottom w:w="140" w:type="dxa"/>
              <w:end w:w="180" w:type="dxa"/>
            </w:tcMar>
            <w:shd w:fill="F6F8FA"/>
          </w:tcPr>
          <w:p>
            <w:pPr>
              <w:spacing w:after="0" w:line="252" w:lineRule="auto"/>
            </w:pPr>
            <w:r>
              <w:rPr>
                <w:rFonts w:ascii="Consolas" w:hAnsi="Consolas"/>
                <w:color w:val="28323C"/>
                <w:sz w:val="17"/>
              </w:rPr>
              <w:t>keygen(algorithm) -&gt; { publicKey, privateKey }</w:t>
            </w:r>
            <w:r>
              <w:br/>
            </w:r>
            <w:r>
              <w:rPr>
                <w:rFonts w:ascii="Consolas" w:hAnsi="Consolas"/>
                <w:color w:val="28323C"/>
                <w:sz w:val="17"/>
              </w:rPr>
              <w:t>sign(algorithm, privateKey, messageBytes) -&gt; signature</w:t>
            </w:r>
            <w:r>
              <w:br/>
            </w:r>
            <w:r>
              <w:rPr>
                <w:rFonts w:ascii="Consolas" w:hAnsi="Consolas"/>
                <w:color w:val="28323C"/>
                <w:sz w:val="17"/>
              </w:rPr>
              <w:t>verify(algorithm, publicKey, messageBytes, signature) -&gt; boolean</w:t>
            </w:r>
            <w:r>
              <w:br/>
            </w:r>
            <w:r>
              <w:rPr>
                <w:rFonts w:ascii="Consolas" w:hAnsi="Consolas"/>
                <w:color w:val="28323C"/>
                <w:sz w:val="17"/>
              </w:rPr>
              <w:t>metadata(algorithm) -&gt; { publicKeyBytes, privateKeyBytes, signatureBytesOrMax }</w:t>
            </w:r>
          </w:p>
        </w:tc>
      </w:tr>
    </w:tbl>
    <w:p>
      <w:pPr>
        <w:spacing w:after="40"/>
      </w:pPr>
    </w:p>
    <w:p>
      <w:pPr>
        <w:keepLines/>
        <w:spacing w:after="80" w:line="300" w:lineRule="auto"/>
        <w:ind w:left="317" w:firstLine="0"/>
      </w:pPr>
      <w:r>
        <w:t>Use the existing string IDs exactly: falcon-512, ml-dsa-44, ml-dsa-65, and slh-dsa-sha2-128s.</w:t>
      </w:r>
    </w:p>
    <w:p>
      <w:pPr>
        <w:keepLines/>
        <w:spacing w:after="80" w:line="300" w:lineRule="auto"/>
        <w:ind w:left="317" w:firstLine="0"/>
      </w:pPr>
      <w:r>
        <w:t>Reject an algorithm/key mismatch before calling the low-level library.</w:t>
      </w:r>
    </w:p>
    <w:p>
      <w:pPr>
        <w:keepLines/>
        <w:spacing w:after="80" w:line="300" w:lineRule="auto"/>
        <w:ind w:left="317" w:firstLine="0"/>
      </w:pPr>
      <w:r>
        <w:t>Keep raw cryptographic values as Uint8Array/byte slices. Encoding to Base64, JSON, or a PQEnvelope belongs at an integration boundary, not inside the primitive implementation.</w:t>
      </w:r>
    </w:p>
    <w:p>
      <w:pPr>
        <w:keepLines/>
        <w:spacing w:after="80" w:line="300" w:lineRule="auto"/>
        <w:ind w:left="317" w:firstLine="0"/>
      </w:pPr>
      <w:r>
        <w:t>Specify error classes for unsupported algorithm, malformed key, malformed signature, RNG failure, build/runtime failure, and internal library error.</w:t>
      </w:r>
    </w:p>
    <w:p>
      <w:pPr>
        <w:pStyle w:val="Heading2"/>
        <w:keepNext/>
      </w:pPr>
      <w:r>
        <w:t>5.3 Produce the browser WASM build</w:t>
      </w:r>
    </w:p>
    <w:p>
      <w:pPr>
        <w:keepLines/>
        <w:spacing w:after="80" w:line="300" w:lineRule="auto"/>
        <w:ind w:left="317" w:firstLine="0"/>
      </w:pPr>
      <w:r>
        <w:t>Compile the Rust crate with wasm-pack for the web target and emit the generated package under packages/pq-core/pkg, matching the existing build:wasm script.</w:t>
      </w:r>
    </w:p>
    <w:p>
      <w:pPr>
        <w:keepLines/>
        <w:spacing w:after="80" w:line="300" w:lineRule="auto"/>
        <w:ind w:left="317" w:firstLine="0"/>
      </w:pPr>
      <w:r>
        <w:t>Expose typed JavaScript bindings that accept and return Uint8Array values without converting private keys to strings.</w:t>
      </w:r>
    </w:p>
    <w:p>
      <w:pPr>
        <w:keepLines/>
        <w:spacing w:after="80" w:line="300" w:lineRule="auto"/>
        <w:ind w:left="317" w:firstLine="0"/>
      </w:pPr>
      <w:r>
        <w:t>Use a browser-compatible cryptographic random source and fail closed when secure randomness is unavailable.</w:t>
      </w:r>
    </w:p>
    <w:p>
      <w:pPr>
        <w:keepLines/>
        <w:spacing w:after="80" w:line="300" w:lineRule="auto"/>
        <w:ind w:left="317" w:firstLine="0"/>
      </w:pPr>
      <w:r>
        <w:t>Provide an integration path for the investor application to generate and use the Falcon key locally. Storage policy and IndexedDB lifecycle remain an M10 integration responsibility, but M1 must not require server-side private-key transport.</w:t>
      </w:r>
    </w:p>
    <w:p>
      <w:pPr>
        <w:keepLines/>
        <w:spacing w:after="80" w:line="300" w:lineRule="auto"/>
        <w:ind w:left="317" w:firstLine="0"/>
      </w:pPr>
      <w:r>
        <w:t>Test Chrome/Chromium desktop and the selected mid-range Android browser/device profile, including WASM loading, key generation, signing, verification, and memory behavior.</w:t>
      </w:r>
    </w:p>
    <w:p>
      <w:pPr>
        <w:pStyle w:val="Heading2"/>
        <w:keepNext/>
      </w:pPr>
      <w:r>
        <w:t>5.4 Produce the native service build</w:t>
      </w:r>
    </w:p>
    <w:p>
      <w:pPr>
        <w:keepLines/>
        <w:spacing w:after="80" w:line="300" w:lineRule="auto"/>
        <w:ind w:left="317" w:firstLine="0"/>
      </w:pPr>
      <w:r>
        <w:t>Build a release-mode native library for oracle, custodian, administrator, service, and offline root-key processes, matching the existing build:native script.</w:t>
      </w:r>
    </w:p>
    <w:p>
      <w:pPr>
        <w:keepLines/>
        <w:spacing w:after="80" w:line="300" w:lineRule="auto"/>
        <w:ind w:left="317" w:firstLine="0"/>
      </w:pPr>
      <w:r>
        <w:t>Select and implement the Node/service bridge: N-API addon, a narrowly scoped process boundary, or another architecture-approved interface. The current TypeScript wrapper does not yet define this bridge.</w:t>
      </w:r>
    </w:p>
    <w:p>
      <w:pPr>
        <w:keepLines/>
        <w:spacing w:after="80" w:line="300" w:lineRule="auto"/>
        <w:ind w:left="317" w:firstLine="0"/>
      </w:pPr>
      <w:r>
        <w:t>Make key operations safe under concurrent service use and ensure errors cross the bridge without leaking key material.</w:t>
      </w:r>
    </w:p>
    <w:p>
      <w:pPr>
        <w:keepLines/>
        <w:spacing w:after="80" w:line="300" w:lineRule="auto"/>
        <w:ind w:left="317" w:firstLine="0"/>
      </w:pPr>
      <w:r>
        <w:t>Publish platform support and build artifacts for every CI/runtime platform that will host an RWA-Vault signer or verifier.</w:t>
      </w:r>
    </w:p>
    <w:p>
      <w:pPr>
        <w:pStyle w:val="Heading2"/>
        <w:keepNext/>
      </w:pPr>
      <w:r>
        <w:t>5.5 Build the conformance harness</w:t>
      </w:r>
    </w:p>
    <w:p>
      <w:pPr>
        <w:keepLines/>
        <w:spacing w:after="80" w:line="300" w:lineRule="auto"/>
        <w:ind w:left="317" w:firstLine="0"/>
      </w:pPr>
      <w:r>
        <w:t>Load official NIST CAVP/ACVP vectors where available and PQClean/liboqs known-answer tests where a final NIST vector set is not applicable.</w:t>
      </w:r>
    </w:p>
    <w:p>
      <w:pPr>
        <w:keepLines/>
        <w:spacing w:after="80" w:line="300" w:lineRule="auto"/>
        <w:ind w:left="317" w:firstLine="0"/>
      </w:pPr>
      <w:r>
        <w:t>Run key-generation, signing, valid-verification, invalid-verification, malformed-input, and cross-runtime compatibility tests.</w:t>
      </w:r>
    </w:p>
    <w:p>
      <w:pPr>
        <w:keepLines/>
        <w:spacing w:after="80" w:line="300" w:lineRule="auto"/>
        <w:ind w:left="317" w:firstLine="0"/>
      </w:pPr>
      <w:r>
        <w:t>Prove that a native-generated signature verifies in WASM and that a WASM-generated signature verifies in native code for every algorithm supported by both targets.</w:t>
      </w:r>
    </w:p>
    <w:p>
      <w:pPr>
        <w:keepLines/>
        <w:spacing w:after="80" w:line="300" w:lineRule="auto"/>
        <w:ind w:left="317" w:firstLine="0"/>
      </w:pPr>
      <w:r>
        <w:t>Write machine-readable and human-readable reports containing library version, commit/build identifier, algorithm name, vector source, target, and pass/fail count.</w:t>
      </w:r>
    </w:p>
    <w:tbl>
      <w:tblPr>
        <w:tblW w:type="dxa" w:w="9360"/>
        <w:jc w:val="left"/>
        <w:tblLayout w:type="fixed"/>
        <w:tblLook w:firstColumn="1" w:firstRow="1" w:lastColumn="0" w:lastRow="0" w:noHBand="0" w:noVBand="1" w:val="04A0"/>
        <w:tblInd w:w="180" w:type="dxa"/>
        <w:tblBorders>
          <w:top w:val="single" w:sz="8" w:space="0" w:color="9B1C1C"/>
          <w:left w:val="single" w:sz="8" w:space="0" w:color="9B1C1C"/>
          <w:bottom w:val="single" w:sz="8" w:space="0" w:color="9B1C1C"/>
          <w:right w:val="single" w:sz="8" w:space="0" w:color="9B1C1C"/>
          <w:insideH w:val="single" w:sz="8" w:space="0" w:color="9B1C1C"/>
          <w:insideV w:val="single" w:sz="8" w:space="0" w:color="9B1C1C"/>
        </w:tblBorders>
      </w:tblPr>
      <w:tblGrid>
        <w:gridCol w:w="9360"/>
      </w:tblGrid>
      <w:tr>
        <w:tc>
          <w:tcPr>
            <w:tcW w:type="dxa" w:w="9360"/>
            <w:vAlign w:val="center"/>
            <w:tcMar>
              <w:top w:w="140" w:type="dxa"/>
              <w:start w:w="180" w:type="dxa"/>
              <w:bottom w:w="140" w:type="dxa"/>
              <w:end w:w="180" w:type="dxa"/>
            </w:tcMar>
            <w:shd w:fill="FDECEC"/>
          </w:tcPr>
          <w:p>
            <w:pPr>
              <w:spacing w:after="0" w:line="283" w:lineRule="auto"/>
            </w:pPr>
            <w:r>
              <w:rPr>
                <w:rFonts w:ascii="Calibri" w:hAnsi="Calibri"/>
                <w:b/>
                <w:color w:val="9B1C1C"/>
                <w:sz w:val="21"/>
              </w:rPr>
              <w:t xml:space="preserve">Specification issue to close: </w:t>
            </w:r>
            <w:r>
              <w:rPr>
                <w:rFonts w:ascii="Calibri" w:hAnsi="Calibri"/>
                <w:color w:val="18324A"/>
                <w:sz w:val="21"/>
              </w:rPr>
              <w:t>The build plan says the harness must cover 'all six primitives,' while the current TypeScript surface lists four signature algorithms. Before the test matrix is frozen, the team must document what the six items are or revise the wording. This must not be hidden by reporting four algorithms as six.</w:t>
            </w:r>
          </w:p>
        </w:tc>
      </w:tr>
    </w:tbl>
    <w:p>
      <w:pPr>
        <w:spacing w:after="40" w:line="40" w:lineRule="exact"/>
      </w:pPr>
    </w:p>
    <w:p>
      <w:pPr>
        <w:pStyle w:val="Heading2"/>
        <w:keepNext/>
      </w:pPr>
      <w:r>
        <w:t>5.6 Build the benchmark harness</w:t>
      </w:r>
    </w:p>
    <w:p>
      <w:pPr>
        <w:keepLines/>
        <w:spacing w:after="80" w:line="300" w:lineRule="auto"/>
        <w:ind w:left="317" w:firstLine="0"/>
      </w:pPr>
      <w:r>
        <w:t>Measure key generation, signing, and verification latency after warm-up; report at least median and p95 values plus iteration count.</w:t>
      </w:r>
    </w:p>
    <w:p>
      <w:pPr>
        <w:keepLines/>
        <w:spacing w:after="80" w:line="300" w:lineRule="auto"/>
        <w:ind w:left="317" w:firstLine="0"/>
      </w:pPr>
      <w:r>
        <w:t>Record public-key, private-key, and signature sizes for each algorithm. Where signatures can vary, report observed and maximum supported sizes.</w:t>
      </w:r>
    </w:p>
    <w:p>
      <w:pPr>
        <w:keepLines/>
        <w:spacing w:after="80" w:line="300" w:lineRule="auto"/>
        <w:ind w:left="317" w:firstLine="0"/>
      </w:pPr>
      <w:r>
        <w:t>Benchmark the native release build on the reference desktop and the WASM build on the named mid-range Android device/profile.</w:t>
      </w:r>
    </w:p>
    <w:p>
      <w:pPr>
        <w:keepLines/>
        <w:spacing w:after="80" w:line="300" w:lineRule="auto"/>
        <w:ind w:left="317" w:firstLine="0"/>
      </w:pPr>
      <w:r>
        <w:t>Record CPU/device, operating system, browser/runtime version, Rust/liboqs versions, build flags, and test payload size so results are reproducible.</w:t>
      </w:r>
    </w:p>
    <w:p>
      <w:pPr>
        <w:keepLines/>
        <w:spacing w:after="80" w:line="300" w:lineRule="auto"/>
        <w:ind w:left="317" w:firstLine="0"/>
      </w:pPr>
      <w:r>
        <w:t>Publish the report as a repository artifact and use it to set UI latency expectations, API limits, record-size budgets, and transaction design assumptions.</w:t>
      </w:r>
    </w:p>
    <w:p>
      <w:pPr>
        <w:pStyle w:val="Heading2"/>
        <w:keepNext/>
      </w:pPr>
      <w:r>
        <w:t>5.7 Integrate and measure ETHFALCON</w:t>
      </w:r>
    </w:p>
    <w:p>
      <w:pPr>
        <w:keepLines/>
        <w:spacing w:after="80" w:line="300" w:lineRule="auto"/>
        <w:ind w:left="317" w:firstLine="0"/>
      </w:pPr>
      <w:r>
        <w:t>Vendor or pin the reviewed ETHFALCON verifier at an immutable version/commit and record its license and upstream source.</w:t>
      </w:r>
    </w:p>
    <w:p>
      <w:pPr>
        <w:keepLines/>
        <w:spacing w:after="80" w:line="300" w:lineRule="auto"/>
        <w:ind w:left="317" w:firstLine="0"/>
      </w:pPr>
      <w:r>
        <w:t>Define exactly how Falcon public keys, signatures, and message/hash inputs are encoded between M1 and Solidity.</w:t>
      </w:r>
    </w:p>
    <w:p>
      <w:pPr>
        <w:keepLines/>
        <w:spacing w:after="80" w:line="300" w:lineRule="auto"/>
        <w:ind w:left="317" w:firstLine="0"/>
      </w:pPr>
      <w:r>
        <w:t>Create positive, negative, malformed-input, and boundary tests using the same vectors as the Rust/WASM implementation.</w:t>
      </w:r>
    </w:p>
    <w:p>
      <w:pPr>
        <w:keepLines/>
        <w:spacing w:after="80" w:line="300" w:lineRule="auto"/>
        <w:ind w:left="317" w:firstLine="0"/>
      </w:pPr>
      <w:r>
        <w:t>Measure deployment gas and per-verification gas under the project's selected EVM/compiler settings.</w:t>
      </w:r>
    </w:p>
    <w:p>
      <w:pPr>
        <w:keepLines/>
        <w:spacing w:after="80" w:line="300" w:lineRule="auto"/>
        <w:ind w:left="317" w:firstLine="0"/>
      </w:pPr>
      <w:r>
        <w:t>Publish the gas report required by research question RQ3 and state whether the verifier is acceptable only for disputes or also for any broader path.</w:t>
      </w:r>
    </w:p>
    <w:p>
      <w:pPr>
        <w:pStyle w:val="Heading2"/>
        <w:keepNext/>
      </w:pPr>
      <w:r>
        <w:t>5.8 Complete the TypeScript package</w:t>
      </w:r>
    </w:p>
    <w:p>
      <w:pPr>
        <w:keepLines/>
        <w:spacing w:after="80" w:line="300" w:lineRule="auto"/>
        <w:ind w:left="317" w:firstLine="0"/>
      </w:pPr>
      <w:r>
        <w:t>Replace the current type-only surface with typed runtime adapters for native and WASM builds.</w:t>
      </w:r>
    </w:p>
    <w:p>
      <w:pPr>
        <w:keepLines/>
        <w:spacing w:after="80" w:line="300" w:lineRule="auto"/>
        <w:ind w:left="317" w:firstLine="0"/>
      </w:pPr>
      <w:r>
        <w:t>Export metadata, error types, and initialization functions without exposing low-level liboqs implementation details.</w:t>
      </w:r>
    </w:p>
    <w:p>
      <w:pPr>
        <w:keepLines/>
        <w:spacing w:after="80" w:line="300" w:lineRule="auto"/>
        <w:ind w:left="317" w:firstLine="0"/>
      </w:pPr>
      <w:r>
        <w:t>Add unit tests, package exports, generated declaration checks, linting, and a real test script instead of the current 'no tests yet' placeholder.</w:t>
      </w:r>
    </w:p>
    <w:p>
      <w:pPr>
        <w:pStyle w:val="Heading1"/>
        <w:keepNext/>
      </w:pPr>
      <w:r>
        <w:t>6. How Module 1 Will Be Done</w:t>
      </w:r>
    </w:p>
    <w:p>
      <w:pPr/>
      <w:r>
        <w:t>The work should proceed as a controlled sequence because the later stages depend on byte-level compatibility established earlier.</w:t>
      </w:r>
    </w:p>
    <w:p>
      <w:pPr>
        <w:spacing w:after="120" w:line="300" w:lineRule="auto"/>
        <w:ind w:left="317" w:firstLine="0"/>
      </w:pPr>
      <w:r>
        <w:rPr>
          <w:b/>
        </w:rPr>
        <w:t>Stage 0 - Freeze implementation decisions.</w:t>
      </w:r>
      <w:r>
        <w:t xml:space="preserve"> Approve the dependency/binding strategy, native Node bridge, exact algorithm names, byte encodings, random-source approach, target platforms, test-vector inventory, benchmark devices, and ETHFALCON version. Record decisions in ADRs before public APIs stabilize.</w:t>
      </w:r>
    </w:p>
    <w:p>
      <w:pPr>
        <w:spacing w:after="120" w:line="300" w:lineRule="auto"/>
        <w:ind w:left="317" w:firstLine="0"/>
      </w:pPr>
      <w:r>
        <w:rPr>
          <w:b/>
        </w:rPr>
        <w:t>Stage 1 - Create the crate and minimal API.</w:t>
      </w:r>
      <w:r>
        <w:t xml:space="preserve"> Add Cargo.toml and Rust modules; make one algorithm complete end to end for keygen/sign/verify; establish error types and the byte-only API. Use this vertical slice to validate the liboqs/PQClean build on native and wasm32.</w:t>
      </w:r>
    </w:p>
    <w:p>
      <w:pPr>
        <w:spacing w:after="120" w:line="300" w:lineRule="auto"/>
        <w:ind w:left="317" w:firstLine="0"/>
      </w:pPr>
      <w:r>
        <w:rPr>
          <w:b/>
        </w:rPr>
        <w:t>Stage 2 - Add the full algorithm matrix.</w:t>
      </w:r>
      <w:r>
        <w:t xml:space="preserve"> Implement all four current algorithm IDs, role mapping, length checks, secure randomness, secret-handling controls, and unit tests. Confirm that unsupported or mismatched inputs fail deterministically.</w:t>
      </w:r>
    </w:p>
    <w:p>
      <w:pPr>
        <w:spacing w:after="120" w:line="300" w:lineRule="auto"/>
        <w:ind w:left="317" w:firstLine="0"/>
      </w:pPr>
      <w:r>
        <w:rPr>
          <w:b/>
        </w:rPr>
        <w:t>Stage 3 - Build runtime adapters.</w:t>
      </w:r>
      <w:r>
        <w:t xml:space="preserve"> Generate the web WASM package, implement the TypeScript WASM loader, implement the approved native service bridge, and give both adapters the same public contract.</w:t>
      </w:r>
    </w:p>
    <w:p>
      <w:pPr>
        <w:spacing w:after="120" w:line="300" w:lineRule="auto"/>
        <w:ind w:left="317" w:firstLine="0"/>
      </w:pPr>
      <w:r>
        <w:rPr>
          <w:b/>
        </w:rPr>
        <w:t>Stage 4 - Prove compatibility and conformance.</w:t>
      </w:r>
      <w:r>
        <w:t xml:space="preserve"> Import test vectors, run native and WASM suites, test cross-runtime signatures, archive reports, and close the four-versus-six primitive ambiguity.</w:t>
      </w:r>
    </w:p>
    <w:p>
      <w:pPr>
        <w:spacing w:after="120" w:line="300" w:lineRule="auto"/>
        <w:ind w:left="317" w:firstLine="0"/>
      </w:pPr>
      <w:r>
        <w:rPr>
          <w:b/>
        </w:rPr>
        <w:t>Stage 5 - Measure operational behavior.</w:t>
      </w:r>
      <w:r>
        <w:t xml:space="preserve"> Run reproducible desktop and Android benchmarks, publish size/latency results, and identify limits or unacceptable regressions.</w:t>
      </w:r>
    </w:p>
    <w:p>
      <w:pPr>
        <w:spacing w:after="120" w:line="300" w:lineRule="auto"/>
        <w:ind w:left="317" w:firstLine="0"/>
      </w:pPr>
      <w:r>
        <w:rPr>
          <w:b/>
        </w:rPr>
        <w:t>Stage 6 - Complete the dispute verifier.</w:t>
      </w:r>
      <w:r>
        <w:t xml:space="preserve"> Integrate ETHFALCON with the exact M1 encoding, run shared-vector tests, measure deployment and verification gas, and publish the RQ3 gas report.</w:t>
      </w:r>
    </w:p>
    <w:p>
      <w:pPr>
        <w:spacing w:after="120" w:line="300" w:lineRule="auto"/>
        <w:ind w:left="317" w:firstLine="0"/>
      </w:pPr>
      <w:r>
        <w:rPr>
          <w:b/>
        </w:rPr>
        <w:t>Stage 7 - Release gate.</w:t>
      </w:r>
      <w:r>
        <w:t xml:space="preserve"> Run formatting, lint, typecheck, native/WASM builds, unit/integration/conformance tests, benchmark smoke checks, dependency/license review, and documentation review. Tag the tested library and generated artifacts together.</w:t>
      </w:r>
    </w:p>
    <w:p>
      <w:pPr>
        <w:pStyle w:val="Heading1"/>
        <w:keepNext/>
      </w:pPr>
      <w:r>
        <w:t>7. Research Required Before and During M1</w:t>
      </w:r>
    </w:p>
    <w:p>
      <w:pPr/>
      <w:r>
        <w:t>Research is part of the module because several choices directly affect correctness, deployability, and auditability. Each topic must end in a recorded decision or report.</w:t>
      </w:r>
    </w:p>
    <w:p>
      <w:pPr>
        <w:pStyle w:val="Heading2"/>
        <w:keepNext/>
        <w:spacing w:before="200" w:after="100"/>
      </w:pPr>
      <w:r>
        <w:rPr>
          <w:rFonts w:ascii="Calibri" w:hAnsi="Calibri"/>
          <w:b/>
          <w:color w:val="1F4D78"/>
          <w:sz w:val="24"/>
        </w:rPr>
        <w:t>Algorithm and library status</w:t>
      </w:r>
    </w:p>
    <w:p>
      <w:pPr/>
      <w:r>
        <w:t>Confirm the exact liboqs 0.12/PQClean implementation names, enabled build flags, upstream maturity, known limitations, and the production status of Falcon-512. Confirm FIPS 204/205 parameter mappings for the selected ML-DSA and SLH-DSA variants.</w:t>
      </w:r>
    </w:p>
    <w:p>
      <w:pPr>
        <w:pStyle w:val="Heading2"/>
        <w:keepNext/>
        <w:spacing w:before="200" w:after="100"/>
      </w:pPr>
      <w:r>
        <w:rPr>
          <w:rFonts w:ascii="Calibri" w:hAnsi="Calibri"/>
          <w:b/>
          <w:color w:val="1F4D78"/>
          <w:sz w:val="24"/>
        </w:rPr>
        <w:t>Vector availability</w:t>
      </w:r>
    </w:p>
    <w:p>
      <w:pPr/>
      <w:r>
        <w:t>Identify the authoritative test-vector source for each algorithm and operation. Determine what replaces official CAVP vectors when an algorithm is not covered, and reconcile the build plan's 'six primitives' wording with the four current package IDs.</w:t>
      </w:r>
    </w:p>
    <w:p>
      <w:pPr>
        <w:pStyle w:val="Heading2"/>
        <w:keepNext/>
        <w:spacing w:before="200" w:after="100"/>
      </w:pPr>
      <w:r>
        <w:rPr>
          <w:rFonts w:ascii="Calibri" w:hAnsi="Calibri"/>
          <w:b/>
          <w:color w:val="1F4D78"/>
          <w:sz w:val="24"/>
        </w:rPr>
        <w:t>Native integration</w:t>
      </w:r>
    </w:p>
    <w:p>
      <w:pPr/>
      <w:r>
        <w:t>Compare N-API, Rust-to-Node binding libraries, and an isolated signer process against deployment platforms, key isolation, operational complexity, and CI packaging. Select one bridge and document why.</w:t>
      </w:r>
    </w:p>
    <w:p>
      <w:pPr>
        <w:pStyle w:val="Heading2"/>
        <w:keepNext/>
        <w:spacing w:before="200" w:after="100"/>
      </w:pPr>
      <w:r>
        <w:rPr>
          <w:rFonts w:ascii="Calibri" w:hAnsi="Calibri"/>
          <w:b/>
          <w:color w:val="1F4D78"/>
          <w:sz w:val="24"/>
        </w:rPr>
        <w:t>WASM security</w:t>
      </w:r>
    </w:p>
    <w:p>
      <w:pPr/>
      <w:r>
        <w:t>Verify browser entropy, memory-copy behavior, WASM package size, initialization cost, supported browsers, and the risk of secret material remaining in JavaScript/WASM memory. Define what M1 guarantees and what M10 must guarantee for storage and session cleanup.</w:t>
      </w:r>
    </w:p>
    <w:p>
      <w:pPr>
        <w:pStyle w:val="Heading2"/>
        <w:keepNext/>
        <w:spacing w:before="200" w:after="100"/>
      </w:pPr>
      <w:r>
        <w:rPr>
          <w:rFonts w:ascii="Calibri" w:hAnsi="Calibri"/>
          <w:b/>
          <w:color w:val="1F4D78"/>
          <w:sz w:val="24"/>
        </w:rPr>
        <w:t>Falcon side-channel exposure</w:t>
      </w:r>
    </w:p>
    <w:p>
      <w:pPr/>
      <w:r>
        <w:t>Review the selected Falcon implementation's timing and sampling behavior in the browser and on shared hosts. Keep Falcon limited to the device role unless the review approves another environment.</w:t>
      </w:r>
    </w:p>
    <w:p>
      <w:pPr>
        <w:pStyle w:val="Heading2"/>
        <w:keepNext/>
        <w:spacing w:before="200" w:after="100"/>
      </w:pPr>
      <w:r>
        <w:rPr>
          <w:rFonts w:ascii="Calibri" w:hAnsi="Calibri"/>
          <w:b/>
          <w:color w:val="1F4D78"/>
          <w:sz w:val="24"/>
        </w:rPr>
        <w:t>Encoding contract</w:t>
      </w:r>
    </w:p>
    <w:p>
      <w:pPr/>
      <w:r>
        <w:t>Freeze message bytes, algorithm IDs, key/signature byte formats, endianness, hashing/prehash behavior, and the Solidity verifier input format. Produce golden vectors consumed by Rust, TypeScript, WASM, and Solidity tests.</w:t>
      </w:r>
    </w:p>
    <w:p>
      <w:pPr>
        <w:pStyle w:val="Heading2"/>
        <w:keepNext/>
        <w:spacing w:before="200" w:after="100"/>
      </w:pPr>
      <w:r>
        <w:rPr>
          <w:rFonts w:ascii="Calibri" w:hAnsi="Calibri"/>
          <w:b/>
          <w:color w:val="1F4D78"/>
          <w:sz w:val="24"/>
        </w:rPr>
        <w:t>On-chain economics</w:t>
      </w:r>
    </w:p>
    <w:p>
      <w:pPr/>
      <w:r>
        <w:t>Measure ETHFALCON under the selected Solidity compiler, optimizer, EVM target, calldata layout, and transaction assumptions. Report both gas units and the policy conclusion for the dispute path.</w:t>
      </w:r>
    </w:p>
    <w:p>
      <w:pPr>
        <w:pStyle w:val="Heading2"/>
        <w:keepNext/>
        <w:spacing w:before="200" w:after="100"/>
      </w:pPr>
      <w:r>
        <w:rPr>
          <w:rFonts w:ascii="Calibri" w:hAnsi="Calibri"/>
          <w:b/>
          <w:color w:val="1F4D78"/>
          <w:sz w:val="24"/>
        </w:rPr>
        <w:t>Supply chain and licensing</w:t>
      </w:r>
    </w:p>
    <w:p>
      <w:pPr/>
      <w:r>
        <w:t>Review licenses and provenance for liboqs, PQClean, the Rust binding layer, wasm-pack output, and ETHFALCON. Pin versions/commits, generate an SBOM, and define vulnerability update ownership.</w:t>
      </w:r>
    </w:p>
    <w:p>
      <w:pPr>
        <w:pStyle w:val="Heading2"/>
        <w:keepNext/>
        <w:spacing w:before="200" w:after="100"/>
      </w:pPr>
      <w:r>
        <w:rPr>
          <w:rFonts w:ascii="Calibri" w:hAnsi="Calibri"/>
          <w:b/>
          <w:color w:val="1F4D78"/>
          <w:sz w:val="24"/>
        </w:rPr>
        <w:t>Reference benchmarks</w:t>
      </w:r>
    </w:p>
    <w:p>
      <w:pPr/>
      <w:r>
        <w:t>Name the desktop and mid-range Android device/browser used for acceptance testing, payload sizes, sample counts, warm-up rules, and performance thresholds. Results without this metadata are not comparable.</w:t>
      </w:r>
    </w:p>
    <w:p>
      <w:pPr>
        <w:pStyle w:val="Heading1"/>
        <w:keepNext/>
      </w:pPr>
      <w:r>
        <w:t>8. Configuration Required</w:t>
      </w:r>
    </w:p>
    <w:p>
      <w:pPr>
        <w:pStyle w:val="Heading2"/>
        <w:keepNext/>
      </w:pPr>
      <w:r>
        <w:t>8.1 Current repository state</w:t>
      </w:r>
    </w:p>
    <w:tbl>
      <w:tblPr>
        <w:tblW w:type="dxa" w:w="9360"/>
        <w:tblLayout w:type="fixed"/>
        <w:tblLook w:firstColumn="1" w:firstRow="1" w:lastColumn="0" w:lastRow="0" w:noHBand="0" w:noVBand="1" w:val="04A0"/>
        <w:jc w:val="left"/>
        <w:tblInd w:w="120" w:type="dxa"/>
        <w:tblBorders>
          <w:top w:val="single" w:sz="6" w:space="0" w:color="B8C4D1"/>
          <w:left w:val="single" w:sz="6" w:space="0" w:color="B8C4D1"/>
          <w:bottom w:val="single" w:sz="6" w:space="0" w:color="B8C4D1"/>
          <w:right w:val="single" w:sz="6" w:space="0" w:color="B8C4D1"/>
          <w:insideH w:val="single" w:sz="6" w:space="0" w:color="B8C4D1"/>
          <w:insideV w:val="single" w:sz="6" w:space="0" w:color="B8C4D1"/>
        </w:tblBorders>
      </w:tblPr>
      <w:tblGrid>
        <w:gridCol w:w="1900"/>
        <w:gridCol w:w="3100"/>
        <w:gridCol w:w="4360"/>
      </w:tblGrid>
      <w:tr>
        <w:trPr>
          <w:tblHeader w:val="true"/>
          <w:cantSplit w:val="true"/>
        </w:trPr>
        <w:tc>
          <w:tcPr>
            <w:tcW w:type="dxa" w:w="1900"/>
            <w:vAlign w:val="center"/>
            <w:tcMar>
              <w:top w:w="80" w:type="dxa"/>
              <w:start w:w="120" w:type="dxa"/>
              <w:bottom w:w="80" w:type="dxa"/>
              <w:end w:w="120" w:type="dxa"/>
            </w:tcMar>
            <w:shd w:fill="E8EEF5"/>
          </w:tcPr>
          <w:p>
            <w:pPr>
              <w:spacing w:after="0" w:line="252" w:lineRule="auto"/>
              <w:jc w:val="left"/>
            </w:pPr>
            <w:r>
              <w:rPr>
                <w:rFonts w:ascii="Calibri" w:hAnsi="Calibri"/>
                <w:b/>
                <w:color w:val="18324A"/>
                <w:sz w:val="18"/>
              </w:rPr>
              <w:t>Item</w:t>
            </w:r>
          </w:p>
        </w:tc>
        <w:tc>
          <w:tcPr>
            <w:tcW w:type="dxa" w:w="3100"/>
            <w:vAlign w:val="center"/>
            <w:tcMar>
              <w:top w:w="80" w:type="dxa"/>
              <w:start w:w="120" w:type="dxa"/>
              <w:bottom w:w="80" w:type="dxa"/>
              <w:end w:w="120" w:type="dxa"/>
            </w:tcMar>
            <w:shd w:fill="E8EEF5"/>
          </w:tcPr>
          <w:p>
            <w:pPr>
              <w:spacing w:after="0" w:line="252" w:lineRule="auto"/>
              <w:jc w:val="left"/>
            </w:pPr>
            <w:r>
              <w:rPr>
                <w:rFonts w:ascii="Calibri" w:hAnsi="Calibri"/>
                <w:b/>
                <w:color w:val="18324A"/>
                <w:sz w:val="18"/>
              </w:rPr>
              <w:t>Current state</w:t>
            </w:r>
          </w:p>
        </w:tc>
        <w:tc>
          <w:tcPr>
            <w:tcW w:type="dxa" w:w="4360"/>
            <w:vAlign w:val="center"/>
            <w:tcMar>
              <w:top w:w="80" w:type="dxa"/>
              <w:start w:w="120" w:type="dxa"/>
              <w:bottom w:w="80" w:type="dxa"/>
              <w:end w:w="120" w:type="dxa"/>
            </w:tcMar>
            <w:shd w:fill="E8EEF5"/>
          </w:tcPr>
          <w:p>
            <w:pPr>
              <w:spacing w:after="0" w:line="252" w:lineRule="auto"/>
              <w:jc w:val="left"/>
            </w:pPr>
            <w:r>
              <w:rPr>
                <w:rFonts w:ascii="Calibri" w:hAnsi="Calibri"/>
                <w:b/>
                <w:color w:val="18324A"/>
                <w:sz w:val="18"/>
              </w:rPr>
              <w:t>Required M1 action</w:t>
            </w:r>
          </w:p>
        </w:tc>
      </w:tr>
      <w:tr>
        <w:trPr>
          <w:cantSplit w:val="true"/>
        </w:trPr>
        <w:tc>
          <w:tcPr>
            <w:tcW w:type="dxa" w:w="1900"/>
            <w:vAlign w:val="center"/>
            <w:tcMar>
              <w:top w:w="80" w:type="dxa"/>
              <w:start w:w="120" w:type="dxa"/>
              <w:bottom w:w="80" w:type="dxa"/>
              <w:end w:w="120" w:type="dxa"/>
            </w:tcMar>
          </w:tcPr>
          <w:p>
            <w:pPr>
              <w:spacing w:after="0" w:line="259" w:lineRule="auto"/>
            </w:pPr>
            <w:r>
              <w:rPr>
                <w:rFonts w:ascii="Calibri" w:hAnsi="Calibri"/>
                <w:color w:val="222222"/>
                <w:sz w:val="17"/>
              </w:rPr>
              <w:t>TypeScript algorithm IDs</w:t>
            </w:r>
          </w:p>
        </w:tc>
        <w:tc>
          <w:tcPr>
            <w:tcW w:type="dxa" w:w="3100"/>
            <w:vAlign w:val="center"/>
            <w:tcMar>
              <w:top w:w="80" w:type="dxa"/>
              <w:start w:w="120" w:type="dxa"/>
              <w:bottom w:w="80" w:type="dxa"/>
              <w:end w:w="120" w:type="dxa"/>
            </w:tcMar>
          </w:tcPr>
          <w:p>
            <w:pPr>
              <w:spacing w:after="0" w:line="259" w:lineRule="auto"/>
            </w:pPr>
            <w:r>
              <w:rPr>
                <w:rFonts w:ascii="Calibri" w:hAnsi="Calibri"/>
                <w:color w:val="222222"/>
                <w:sz w:val="17"/>
              </w:rPr>
              <w:t>Present in packages/pq-core/src/index.ts</w:t>
            </w:r>
          </w:p>
        </w:tc>
        <w:tc>
          <w:tcPr>
            <w:tcW w:type="dxa" w:w="4360"/>
            <w:vAlign w:val="center"/>
            <w:tcMar>
              <w:top w:w="80" w:type="dxa"/>
              <w:start w:w="120" w:type="dxa"/>
              <w:bottom w:w="80" w:type="dxa"/>
              <w:end w:w="120" w:type="dxa"/>
            </w:tcMar>
          </w:tcPr>
          <w:p>
            <w:pPr>
              <w:spacing w:after="0" w:line="259" w:lineRule="auto"/>
            </w:pPr>
            <w:r>
              <w:rPr>
                <w:rFonts w:ascii="Calibri" w:hAnsi="Calibri"/>
                <w:color w:val="222222"/>
                <w:sz w:val="17"/>
              </w:rPr>
              <w:t>Keep stable; add runtime API, metadata, errors, and adapters</w:t>
            </w:r>
          </w:p>
        </w:tc>
      </w:tr>
      <w:tr>
        <w:trPr>
          <w:cantSplit w:val="true"/>
        </w:trPr>
        <w:tc>
          <w:tcPr>
            <w:tcW w:type="dxa" w:w="1900"/>
            <w:shd w:fill="F7F9FB"/>
            <w:vAlign w:val="center"/>
            <w:tcMar>
              <w:top w:w="80" w:type="dxa"/>
              <w:start w:w="120" w:type="dxa"/>
              <w:bottom w:w="80" w:type="dxa"/>
              <w:end w:w="120" w:type="dxa"/>
            </w:tcMar>
          </w:tcPr>
          <w:p>
            <w:pPr>
              <w:spacing w:after="0" w:line="259" w:lineRule="auto"/>
            </w:pPr>
            <w:r>
              <w:rPr>
                <w:rFonts w:ascii="Calibri" w:hAnsi="Calibri"/>
                <w:color w:val="222222"/>
                <w:sz w:val="17"/>
              </w:rPr>
              <w:t>Package scripts</w:t>
            </w:r>
          </w:p>
        </w:tc>
        <w:tc>
          <w:tcPr>
            <w:tcW w:type="dxa" w:w="3100"/>
            <w:shd w:fill="F7F9FB"/>
            <w:vAlign w:val="center"/>
            <w:tcMar>
              <w:top w:w="80" w:type="dxa"/>
              <w:start w:w="120" w:type="dxa"/>
              <w:bottom w:w="80" w:type="dxa"/>
              <w:end w:w="120" w:type="dxa"/>
            </w:tcMar>
          </w:tcPr>
          <w:p>
            <w:pPr>
              <w:spacing w:after="0" w:line="259" w:lineRule="auto"/>
            </w:pPr>
            <w:r>
              <w:rPr>
                <w:rFonts w:ascii="Calibri" w:hAnsi="Calibri"/>
                <w:color w:val="222222"/>
                <w:sz w:val="17"/>
              </w:rPr>
              <w:t>Native, WASM, and CAVP commands are declared</w:t>
            </w:r>
          </w:p>
        </w:tc>
        <w:tc>
          <w:tcPr>
            <w:tcW w:type="dxa" w:w="4360"/>
            <w:shd w:fill="F7F9FB"/>
            <w:vAlign w:val="center"/>
            <w:tcMar>
              <w:top w:w="80" w:type="dxa"/>
              <w:start w:w="120" w:type="dxa"/>
              <w:bottom w:w="80" w:type="dxa"/>
              <w:end w:w="120" w:type="dxa"/>
            </w:tcMar>
          </w:tcPr>
          <w:p>
            <w:pPr>
              <w:spacing w:after="0" w:line="259" w:lineRule="auto"/>
            </w:pPr>
            <w:r>
              <w:rPr>
                <w:rFonts w:ascii="Calibri" w:hAnsi="Calibri"/>
                <w:color w:val="222222"/>
                <w:sz w:val="17"/>
              </w:rPr>
              <w:t>Make each command executable and CI-backed</w:t>
            </w:r>
          </w:p>
        </w:tc>
      </w:tr>
      <w:tr>
        <w:trPr>
          <w:cantSplit w:val="true"/>
        </w:trPr>
        <w:tc>
          <w:tcPr>
            <w:tcW w:type="dxa" w:w="1900"/>
            <w:vAlign w:val="center"/>
            <w:tcMar>
              <w:top w:w="80" w:type="dxa"/>
              <w:start w:w="120" w:type="dxa"/>
              <w:bottom w:w="80" w:type="dxa"/>
              <w:end w:w="120" w:type="dxa"/>
            </w:tcMar>
          </w:tcPr>
          <w:p>
            <w:pPr>
              <w:spacing w:after="0" w:line="259" w:lineRule="auto"/>
            </w:pPr>
            <w:r>
              <w:rPr>
                <w:rFonts w:ascii="Calibri" w:hAnsi="Calibri"/>
                <w:color w:val="222222"/>
                <w:sz w:val="17"/>
              </w:rPr>
              <w:t>Rust toolchain</w:t>
            </w:r>
          </w:p>
        </w:tc>
        <w:tc>
          <w:tcPr>
            <w:tcW w:type="dxa" w:w="3100"/>
            <w:vAlign w:val="center"/>
            <w:tcMar>
              <w:top w:w="80" w:type="dxa"/>
              <w:start w:w="120" w:type="dxa"/>
              <w:bottom w:w="80" w:type="dxa"/>
              <w:end w:w="120" w:type="dxa"/>
            </w:tcMar>
          </w:tcPr>
          <w:p>
            <w:pPr>
              <w:spacing w:after="0" w:line="259" w:lineRule="auto"/>
            </w:pPr>
            <w:r>
              <w:rPr>
                <w:rFonts w:ascii="Calibri" w:hAnsi="Calibri"/>
                <w:color w:val="222222"/>
                <w:sz w:val="17"/>
              </w:rPr>
              <w:t>Pinned to Rust 1.81.0 with wasm32-unknown-unknown, clippy, and rustfmt</w:t>
            </w:r>
          </w:p>
        </w:tc>
        <w:tc>
          <w:tcPr>
            <w:tcW w:type="dxa" w:w="4360"/>
            <w:vAlign w:val="center"/>
            <w:tcMar>
              <w:top w:w="80" w:type="dxa"/>
              <w:start w:w="120" w:type="dxa"/>
              <w:bottom w:w="80" w:type="dxa"/>
              <w:end w:w="120" w:type="dxa"/>
            </w:tcMar>
          </w:tcPr>
          <w:p>
            <w:pPr>
              <w:spacing w:after="0" w:line="259" w:lineRule="auto"/>
            </w:pPr>
            <w:r>
              <w:rPr>
                <w:rFonts w:ascii="Calibri" w:hAnsi="Calibri"/>
                <w:color w:val="222222"/>
                <w:sz w:val="17"/>
              </w:rPr>
              <w:t>Validate compatibility; document any approved version change</w:t>
            </w:r>
          </w:p>
        </w:tc>
      </w:tr>
      <w:tr>
        <w:trPr>
          <w:cantSplit w:val="true"/>
        </w:trPr>
        <w:tc>
          <w:tcPr>
            <w:tcW w:type="dxa" w:w="1900"/>
            <w:shd w:fill="F7F9FB"/>
            <w:vAlign w:val="center"/>
            <w:tcMar>
              <w:top w:w="80" w:type="dxa"/>
              <w:start w:w="120" w:type="dxa"/>
              <w:bottom w:w="80" w:type="dxa"/>
              <w:end w:w="120" w:type="dxa"/>
            </w:tcMar>
          </w:tcPr>
          <w:p>
            <w:pPr>
              <w:spacing w:after="0" w:line="259" w:lineRule="auto"/>
            </w:pPr>
            <w:r>
              <w:rPr>
                <w:rFonts w:ascii="Calibri" w:hAnsi="Calibri"/>
                <w:color w:val="222222"/>
                <w:sz w:val="17"/>
              </w:rPr>
              <w:t>Rust crate</w:t>
            </w:r>
          </w:p>
        </w:tc>
        <w:tc>
          <w:tcPr>
            <w:tcW w:type="dxa" w:w="3100"/>
            <w:shd w:fill="F7F9FB"/>
            <w:vAlign w:val="center"/>
            <w:tcMar>
              <w:top w:w="80" w:type="dxa"/>
              <w:start w:w="120" w:type="dxa"/>
              <w:bottom w:w="80" w:type="dxa"/>
              <w:end w:w="120" w:type="dxa"/>
            </w:tcMar>
          </w:tcPr>
          <w:p>
            <w:pPr>
              <w:spacing w:after="0" w:line="259" w:lineRule="auto"/>
            </w:pPr>
            <w:r>
              <w:rPr>
                <w:rFonts w:ascii="Calibri" w:hAnsi="Calibri"/>
                <w:color w:val="222222"/>
                <w:sz w:val="17"/>
              </w:rPr>
              <w:t>Missing Cargo.toml and src tree</w:t>
            </w:r>
          </w:p>
        </w:tc>
        <w:tc>
          <w:tcPr>
            <w:tcW w:type="dxa" w:w="4360"/>
            <w:shd w:fill="F7F9FB"/>
            <w:vAlign w:val="center"/>
            <w:tcMar>
              <w:top w:w="80" w:type="dxa"/>
              <w:start w:w="120" w:type="dxa"/>
              <w:bottom w:w="80" w:type="dxa"/>
              <w:end w:w="120" w:type="dxa"/>
            </w:tcMar>
          </w:tcPr>
          <w:p>
            <w:pPr>
              <w:spacing w:after="0" w:line="259" w:lineRule="auto"/>
            </w:pPr>
            <w:r>
              <w:rPr>
                <w:rFonts w:ascii="Calibri" w:hAnsi="Calibri"/>
                <w:color w:val="222222"/>
                <w:sz w:val="17"/>
              </w:rPr>
              <w:t>Create crate, bindings, features, and tests</w:t>
            </w:r>
          </w:p>
        </w:tc>
      </w:tr>
      <w:tr>
        <w:trPr>
          <w:cantSplit w:val="true"/>
        </w:trPr>
        <w:tc>
          <w:tcPr>
            <w:tcW w:type="dxa" w:w="1900"/>
            <w:vAlign w:val="center"/>
            <w:tcMar>
              <w:top w:w="80" w:type="dxa"/>
              <w:start w:w="120" w:type="dxa"/>
              <w:bottom w:w="80" w:type="dxa"/>
              <w:end w:w="120" w:type="dxa"/>
            </w:tcMar>
          </w:tcPr>
          <w:p>
            <w:pPr>
              <w:spacing w:after="0" w:line="259" w:lineRule="auto"/>
            </w:pPr>
            <w:r>
              <w:rPr>
                <w:rFonts w:ascii="Calibri" w:hAnsi="Calibri"/>
                <w:color w:val="222222"/>
                <w:sz w:val="17"/>
              </w:rPr>
              <w:t>Generated WASM package</w:t>
            </w:r>
          </w:p>
        </w:tc>
        <w:tc>
          <w:tcPr>
            <w:tcW w:type="dxa" w:w="3100"/>
            <w:vAlign w:val="center"/>
            <w:tcMar>
              <w:top w:w="80" w:type="dxa"/>
              <w:start w:w="120" w:type="dxa"/>
              <w:bottom w:w="80" w:type="dxa"/>
              <w:end w:w="120" w:type="dxa"/>
            </w:tcMar>
          </w:tcPr>
          <w:p>
            <w:pPr>
              <w:spacing w:after="0" w:line="259" w:lineRule="auto"/>
            </w:pPr>
            <w:r>
              <w:rPr>
                <w:rFonts w:ascii="Calibri" w:hAnsi="Calibri"/>
                <w:color w:val="222222"/>
                <w:sz w:val="17"/>
              </w:rPr>
              <w:t>Not present</w:t>
            </w:r>
          </w:p>
        </w:tc>
        <w:tc>
          <w:tcPr>
            <w:tcW w:type="dxa" w:w="4360"/>
            <w:vAlign w:val="center"/>
            <w:tcMar>
              <w:top w:w="80" w:type="dxa"/>
              <w:start w:w="120" w:type="dxa"/>
              <w:bottom w:w="80" w:type="dxa"/>
              <w:end w:w="120" w:type="dxa"/>
            </w:tcMar>
          </w:tcPr>
          <w:p>
            <w:pPr>
              <w:spacing w:after="0" w:line="259" w:lineRule="auto"/>
            </w:pPr>
            <w:r>
              <w:rPr>
                <w:rFonts w:ascii="Calibri" w:hAnsi="Calibri"/>
                <w:color w:val="222222"/>
                <w:sz w:val="17"/>
              </w:rPr>
              <w:t>Generate deterministically; define whether build output is committed or produced in CI</w:t>
            </w:r>
          </w:p>
        </w:tc>
      </w:tr>
      <w:tr>
        <w:trPr>
          <w:cantSplit w:val="true"/>
        </w:trPr>
        <w:tc>
          <w:tcPr>
            <w:tcW w:type="dxa" w:w="1900"/>
            <w:shd w:fill="F7F9FB"/>
            <w:vAlign w:val="center"/>
            <w:tcMar>
              <w:top w:w="80" w:type="dxa"/>
              <w:start w:w="120" w:type="dxa"/>
              <w:bottom w:w="80" w:type="dxa"/>
              <w:end w:w="120" w:type="dxa"/>
            </w:tcMar>
          </w:tcPr>
          <w:p>
            <w:pPr>
              <w:spacing w:after="0" w:line="259" w:lineRule="auto"/>
            </w:pPr>
            <w:r>
              <w:rPr>
                <w:rFonts w:ascii="Calibri" w:hAnsi="Calibri"/>
                <w:color w:val="222222"/>
                <w:sz w:val="17"/>
              </w:rPr>
              <w:t>Conformance tests</w:t>
            </w:r>
          </w:p>
        </w:tc>
        <w:tc>
          <w:tcPr>
            <w:tcW w:type="dxa" w:w="3100"/>
            <w:shd w:fill="F7F9FB"/>
            <w:vAlign w:val="center"/>
            <w:tcMar>
              <w:top w:w="80" w:type="dxa"/>
              <w:start w:w="120" w:type="dxa"/>
              <w:bottom w:w="80" w:type="dxa"/>
              <w:end w:w="120" w:type="dxa"/>
            </w:tcMar>
          </w:tcPr>
          <w:p>
            <w:pPr>
              <w:spacing w:after="0" w:line="259" w:lineRule="auto"/>
            </w:pPr>
            <w:r>
              <w:rPr>
                <w:rFonts w:ascii="Calibri" w:hAnsi="Calibri"/>
                <w:color w:val="222222"/>
                <w:sz w:val="17"/>
              </w:rPr>
              <w:t>Script exists but no harness/crate</w:t>
            </w:r>
          </w:p>
        </w:tc>
        <w:tc>
          <w:tcPr>
            <w:tcW w:type="dxa" w:w="4360"/>
            <w:shd w:fill="F7F9FB"/>
            <w:vAlign w:val="center"/>
            <w:tcMar>
              <w:top w:w="80" w:type="dxa"/>
              <w:start w:w="120" w:type="dxa"/>
              <w:bottom w:w="80" w:type="dxa"/>
              <w:end w:w="120" w:type="dxa"/>
            </w:tcMar>
          </w:tcPr>
          <w:p>
            <w:pPr>
              <w:spacing w:after="0" w:line="259" w:lineRule="auto"/>
            </w:pPr>
            <w:r>
              <w:rPr>
                <w:rFonts w:ascii="Calibri" w:hAnsi="Calibri"/>
                <w:color w:val="222222"/>
                <w:sz w:val="17"/>
              </w:rPr>
              <w:t>Add vectors, runner, reports, and pass criteria</w:t>
            </w:r>
          </w:p>
        </w:tc>
      </w:tr>
      <w:tr>
        <w:trPr>
          <w:cantSplit w:val="true"/>
        </w:trPr>
        <w:tc>
          <w:tcPr>
            <w:tcW w:type="dxa" w:w="1900"/>
            <w:vAlign w:val="center"/>
            <w:tcMar>
              <w:top w:w="80" w:type="dxa"/>
              <w:start w:w="120" w:type="dxa"/>
              <w:bottom w:w="80" w:type="dxa"/>
              <w:end w:w="120" w:type="dxa"/>
            </w:tcMar>
          </w:tcPr>
          <w:p>
            <w:pPr>
              <w:spacing w:after="0" w:line="259" w:lineRule="auto"/>
            </w:pPr>
            <w:r>
              <w:rPr>
                <w:rFonts w:ascii="Calibri" w:hAnsi="Calibri"/>
                <w:color w:val="222222"/>
                <w:sz w:val="17"/>
              </w:rPr>
              <w:t>Benchmark and gas reports</w:t>
            </w:r>
          </w:p>
        </w:tc>
        <w:tc>
          <w:tcPr>
            <w:tcW w:type="dxa" w:w="3100"/>
            <w:vAlign w:val="center"/>
            <w:tcMar>
              <w:top w:w="80" w:type="dxa"/>
              <w:start w:w="120" w:type="dxa"/>
              <w:bottom w:w="80" w:type="dxa"/>
              <w:end w:w="120" w:type="dxa"/>
            </w:tcMar>
          </w:tcPr>
          <w:p>
            <w:pPr>
              <w:spacing w:after="0" w:line="259" w:lineRule="auto"/>
            </w:pPr>
            <w:r>
              <w:rPr>
                <w:rFonts w:ascii="Calibri" w:hAnsi="Calibri"/>
                <w:color w:val="222222"/>
                <w:sz w:val="17"/>
              </w:rPr>
              <w:t>Not present</w:t>
            </w:r>
          </w:p>
        </w:tc>
        <w:tc>
          <w:tcPr>
            <w:tcW w:type="dxa" w:w="4360"/>
            <w:vAlign w:val="center"/>
            <w:tcMar>
              <w:top w:w="80" w:type="dxa"/>
              <w:start w:w="120" w:type="dxa"/>
              <w:bottom w:w="80" w:type="dxa"/>
              <w:end w:w="120" w:type="dxa"/>
            </w:tcMar>
          </w:tcPr>
          <w:p>
            <w:pPr>
              <w:spacing w:after="0" w:line="259" w:lineRule="auto"/>
            </w:pPr>
            <w:r>
              <w:rPr>
                <w:rFonts w:ascii="Calibri" w:hAnsi="Calibri"/>
                <w:color w:val="222222"/>
                <w:sz w:val="17"/>
              </w:rPr>
              <w:t>Add reproducible harnesses and publish reports</w:t>
            </w:r>
          </w:p>
        </w:tc>
      </w:tr>
    </w:tbl>
    <w:p>
      <w:pPr>
        <w:spacing w:after="40" w:line="40" w:lineRule="exact"/>
      </w:pPr>
    </w:p>
    <w:p>
      <w:pPr>
        <w:pStyle w:val="Heading2"/>
        <w:keepNext/>
      </w:pPr>
      <w:r>
        <w:t>8.2 Expected package structure</w:t>
      </w:r>
    </w:p>
    <w:tbl>
      <w:tblPr>
        <w:tblW w:type="dxa" w:w="9360"/>
        <w:jc w:val="left"/>
        <w:tblLayout w:type="fixed"/>
        <w:tblLook w:firstColumn="1" w:firstRow="1" w:lastColumn="0" w:lastRow="0" w:noHBand="0" w:noVBand="1" w:val="04A0"/>
        <w:tblInd w:w="180" w:type="dxa"/>
        <w:tblBorders>
          <w:top w:val="single" w:sz="4" w:space="0" w:color="D6DCE3"/>
          <w:left w:val="single" w:sz="4" w:space="0" w:color="D6DCE3"/>
          <w:bottom w:val="single" w:sz="4" w:space="0" w:color="D6DCE3"/>
          <w:right w:val="single" w:sz="4" w:space="0" w:color="D6DCE3"/>
          <w:insideH w:val="single" w:sz="4" w:space="0" w:color="D6DCE3"/>
          <w:insideV w:val="single" w:sz="4" w:space="0" w:color="D6DCE3"/>
        </w:tblBorders>
      </w:tblPr>
      <w:tblGrid>
        <w:gridCol w:w="9360"/>
      </w:tblGrid>
      <w:tr>
        <w:tc>
          <w:tcPr>
            <w:tcW w:type="dxa" w:w="9360"/>
            <w:vAlign w:val="center"/>
            <w:tcMar>
              <w:top w:w="140" w:type="dxa"/>
              <w:start w:w="180" w:type="dxa"/>
              <w:bottom w:w="140" w:type="dxa"/>
              <w:end w:w="180" w:type="dxa"/>
            </w:tcMar>
            <w:shd w:fill="F6F8FA"/>
          </w:tcPr>
          <w:p>
            <w:pPr>
              <w:spacing w:after="0" w:line="252" w:lineRule="auto"/>
            </w:pPr>
            <w:r>
              <w:rPr>
                <w:rFonts w:ascii="Consolas" w:hAnsi="Consolas"/>
                <w:color w:val="28323C"/>
                <w:sz w:val="17"/>
              </w:rPr>
              <w:t>packages/pq-core/</w:t>
            </w:r>
            <w:r>
              <w:br/>
            </w:r>
            <w:r>
              <w:rPr>
                <w:rFonts w:ascii="Consolas" w:hAnsi="Consolas"/>
                <w:color w:val="28323C"/>
                <w:sz w:val="17"/>
              </w:rPr>
              <w:t xml:space="preserve">  native/Cargo.toml</w:t>
            </w:r>
            <w:r>
              <w:br/>
            </w:r>
            <w:r>
              <w:rPr>
                <w:rFonts w:ascii="Consolas" w:hAnsi="Consolas"/>
                <w:color w:val="28323C"/>
                <w:sz w:val="17"/>
              </w:rPr>
              <w:t xml:space="preserve">  native/src/{lib,algorithms,error,metadata}.rs</w:t>
            </w:r>
            <w:r>
              <w:br/>
            </w:r>
            <w:r>
              <w:rPr>
                <w:rFonts w:ascii="Consolas" w:hAnsi="Consolas"/>
                <w:color w:val="28323C"/>
                <w:sz w:val="17"/>
              </w:rPr>
              <w:t xml:space="preserve">  native/tests/{vectors,cross_runtime,negative}.rs</w:t>
            </w:r>
            <w:r>
              <w:br/>
            </w:r>
            <w:r>
              <w:rPr>
                <w:rFonts w:ascii="Consolas" w:hAnsi="Consolas"/>
                <w:color w:val="28323C"/>
                <w:sz w:val="17"/>
              </w:rPr>
              <w:t xml:space="preserve">  vectors/&lt;algorithm&gt;/&lt;source-version&gt;/...</w:t>
            </w:r>
            <w:r>
              <w:br/>
            </w:r>
            <w:r>
              <w:rPr>
                <w:rFonts w:ascii="Consolas" w:hAnsi="Consolas"/>
                <w:color w:val="28323C"/>
                <w:sz w:val="17"/>
              </w:rPr>
              <w:t xml:space="preserve">  benches/pq_bench.rs</w:t>
            </w:r>
            <w:r>
              <w:br/>
            </w:r>
            <w:r>
              <w:rPr>
                <w:rFonts w:ascii="Consolas" w:hAnsi="Consolas"/>
                <w:color w:val="28323C"/>
                <w:sz w:val="17"/>
              </w:rPr>
              <w:t xml:space="preserve">  src/{index,types,errors,native,wasm}.ts</w:t>
            </w:r>
            <w:r>
              <w:br/>
            </w:r>
            <w:r>
              <w:rPr>
                <w:rFonts w:ascii="Consolas" w:hAnsi="Consolas"/>
                <w:color w:val="28323C"/>
                <w:sz w:val="17"/>
              </w:rPr>
              <w:t xml:space="preserve">  pkg/                         # generated WASM output or CI artifact</w:t>
            </w:r>
            <w:r>
              <w:br/>
            </w:r>
            <w:r>
              <w:rPr>
                <w:rFonts w:ascii="Consolas" w:hAnsi="Consolas"/>
                <w:color w:val="28323C"/>
                <w:sz w:val="17"/>
              </w:rPr>
              <w:t xml:space="preserve">  reports/{cavp,benchmarks,ethfalcon}/</w:t>
            </w:r>
            <w:r>
              <w:br/>
            </w:r>
            <w:r>
              <w:rPr>
                <w:rFonts w:ascii="Consolas" w:hAnsi="Consolas"/>
                <w:color w:val="28323C"/>
                <w:sz w:val="17"/>
              </w:rPr>
              <w:t xml:space="preserve">  README.md</w:t>
            </w:r>
          </w:p>
        </w:tc>
      </w:tr>
    </w:tbl>
    <w:p>
      <w:pPr>
        <w:spacing w:after="40"/>
      </w:pPr>
    </w:p>
    <w:p>
      <w:pPr>
        <w:pStyle w:val="Heading2"/>
        <w:keepNext/>
      </w:pPr>
      <w:r>
        <w:t>8.3 Toolchain and dependency configuration</w:t>
      </w:r>
    </w:p>
    <w:p>
      <w:pPr>
        <w:keepLines/>
        <w:spacing w:after="80" w:line="300" w:lineRule="auto"/>
        <w:ind w:left="317" w:firstLine="0"/>
      </w:pPr>
      <w:r>
        <w:t>Use the repository-pinned Rust 1.81.0 toolchain unless the chosen bindings require a documented upgrade. Keep rustfmt and clippy required in CI.</w:t>
      </w:r>
    </w:p>
    <w:p>
      <w:pPr>
        <w:keepLines/>
        <w:spacing w:after="80" w:line="300" w:lineRule="auto"/>
        <w:ind w:left="317" w:firstLine="0"/>
      </w:pPr>
      <w:r>
        <w:t>Install and pin wasm-pack; retain wasm32-unknown-unknown as the browser target.</w:t>
      </w:r>
    </w:p>
    <w:p>
      <w:pPr>
        <w:keepLines/>
        <w:spacing w:after="80" w:line="300" w:lineRule="auto"/>
        <w:ind w:left="317" w:firstLine="0"/>
      </w:pPr>
      <w:r>
        <w:t>Pin liboqs at the build-plan version (0.12) and pin the actual Rust binding crate/commit. Do not accept an unbounded transitive update for cryptographic code.</w:t>
      </w:r>
    </w:p>
    <w:p>
      <w:pPr>
        <w:keepLines/>
        <w:spacing w:after="80" w:line="300" w:lineRule="auto"/>
        <w:ind w:left="317" w:firstLine="0"/>
      </w:pPr>
      <w:r>
        <w:t>Configure C/C++ build prerequisites required by liboqs for Windows/Linux CI and local development, including the approved CMake/compiler toolchain.</w:t>
      </w:r>
    </w:p>
    <w:p>
      <w:pPr>
        <w:keepLines/>
        <w:spacing w:after="80" w:line="300" w:lineRule="auto"/>
        <w:ind w:left="317" w:firstLine="0"/>
      </w:pPr>
      <w:r>
        <w:t>Use release optimization for benchmarks and shipped artifacts. Keep debug builds for development but never compare debug numbers with release acceptance results. Record enabled algorithms explicitly so unused liboqs algorithms do not silently expand the support surface.</w:t>
      </w:r>
    </w:p>
    <w:p>
      <w:pPr>
        <w:pStyle w:val="Heading2"/>
        <w:keepNext/>
      </w:pPr>
      <w:r>
        <w:t>8.4 Security configuration</w:t>
      </w:r>
    </w:p>
    <w:p>
      <w:pPr>
        <w:keepLines/>
        <w:spacing w:after="80" w:line="300" w:lineRule="auto"/>
        <w:ind w:left="317" w:firstLine="0"/>
      </w:pPr>
      <w:r>
        <w:t>Map every algorithm ID to one role and reject role/algorithm mismatches at higher integration boundaries.</w:t>
      </w:r>
    </w:p>
    <w:p>
      <w:pPr>
        <w:keepLines/>
        <w:spacing w:after="80" w:line="300" w:lineRule="auto"/>
        <w:ind w:left="317" w:firstLine="0"/>
      </w:pPr>
      <w:r>
        <w:t>Use operating-system CSPRNG in native builds and Web Crypto-backed randomness in WASM. No deterministic or test RNG may be reachable in production builds.</w:t>
      </w:r>
    </w:p>
    <w:p>
      <w:pPr>
        <w:keepLines/>
        <w:spacing w:after="80" w:line="300" w:lineRule="auto"/>
        <w:ind w:left="317" w:firstLine="0"/>
      </w:pPr>
      <w:r>
        <w:t>Never log private keys, unredacted secret buffers, or complete signing requests. Redact error contexts before crossing the native/TypeScript boundary.</w:t>
      </w:r>
    </w:p>
    <w:p>
      <w:pPr>
        <w:keepLines/>
        <w:spacing w:after="80" w:line="300" w:lineRule="auto"/>
        <w:ind w:left="317" w:firstLine="0"/>
      </w:pPr>
      <w:r>
        <w:t>Separate test vectors and test keys from production paths. Add a build-time guard if deterministic test hooks are compiled.</w:t>
      </w:r>
    </w:p>
    <w:p>
      <w:pPr>
        <w:keepLines/>
        <w:spacing w:after="80" w:line="300" w:lineRule="auto"/>
        <w:ind w:left="317" w:firstLine="0"/>
      </w:pPr>
      <w:r>
        <w:t>Define maximum accepted message, key, and signature lengths to prevent uncontrolled allocation or malformed-input abuse.</w:t>
      </w:r>
    </w:p>
    <w:p>
      <w:pPr>
        <w:pStyle w:val="Heading2"/>
        <w:keepNext/>
      </w:pPr>
      <w:r>
        <w:t>8.5 CI configuration</w:t>
      </w:r>
    </w:p>
    <w:p>
      <w:pPr>
        <w:keepLines/>
        <w:spacing w:after="80" w:line="300" w:lineRule="auto"/>
        <w:ind w:left="317" w:firstLine="0"/>
      </w:pPr>
      <w:r>
        <w:t>Native matrix: supported operating systems/architectures, release build, unit tests, integration tests, vector tests, clippy, rustfmt check, and dependency audit.</w:t>
      </w:r>
    </w:p>
    <w:p>
      <w:pPr>
        <w:keepLines/>
        <w:spacing w:after="80" w:line="300" w:lineRule="auto"/>
        <w:ind w:left="317" w:firstLine="0"/>
      </w:pPr>
      <w:r>
        <w:t>WASM matrix: wasm-pack build, TypeScript typecheck, browser test runner, vector tests, native-to-WASM compatibility, and package-size report.</w:t>
      </w:r>
    </w:p>
    <w:p>
      <w:pPr>
        <w:keepLines/>
        <w:spacing w:after="80" w:line="300" w:lineRule="auto"/>
        <w:ind w:left="317" w:firstLine="0"/>
      </w:pPr>
      <w:r>
        <w:t>Solidity matrix: pinned compiler and optimizer settings, shared-vector tests, negative tests, and gas snapshot with an explicit regression threshold.</w:t>
      </w:r>
    </w:p>
    <w:p>
      <w:pPr>
        <w:keepLines/>
        <w:spacing w:after="80" w:line="300" w:lineRule="auto"/>
        <w:ind w:left="317" w:firstLine="0"/>
      </w:pPr>
      <w:r>
        <w:t>Artifact metadata: source commit, Rust version, liboqs/PQClean version, target triple, feature set, checksum, and report links.</w:t>
      </w:r>
    </w:p>
    <w:p>
      <w:pPr>
        <w:pStyle w:val="Heading1"/>
        <w:keepNext/>
      </w:pPr>
      <w:r>
        <w:t>9. Result of Module 1</w:t>
      </w:r>
    </w:p>
    <w:p>
      <w:pPr/>
      <w:r>
        <w:t>When M1 is complete, RWA-Vault will have a single reviewed PQ signing system that dependent modules can call without knowing liboqs internals. The concrete result is the following release set:</w:t>
      </w:r>
    </w:p>
    <w:p>
      <w:pPr>
        <w:keepLines/>
        <w:spacing w:after="80" w:line="300" w:lineRule="auto"/>
        <w:ind w:left="317" w:firstLine="0"/>
      </w:pPr>
      <w:r>
        <w:t>Native PQ Core: A release-build Rust/native implementation for ML-DSA, SLH-DSA, Falcon verification, and approved service/offline signing roles.</w:t>
      </w:r>
    </w:p>
    <w:p>
      <w:pPr>
        <w:keepLines/>
        <w:spacing w:after="80" w:line="300" w:lineRule="auto"/>
        <w:ind w:left="317" w:firstLine="0"/>
      </w:pPr>
      <w:r>
        <w:t>Browser PQ Core: A wasm-pack web package that performs investor-device Falcon key generation, signing, and verification without requiring private-key transport to a service.</w:t>
      </w:r>
    </w:p>
    <w:p>
      <w:pPr>
        <w:keepLines/>
        <w:spacing w:after="80" w:line="300" w:lineRule="auto"/>
        <w:ind w:left="317" w:firstLine="0"/>
      </w:pPr>
      <w:r>
        <w:t>Typed package API: A TypeScript API with stable algorithm identifiers, byte-oriented types, metadata, structured errors, and runtime initialization.</w:t>
      </w:r>
    </w:p>
    <w:p>
      <w:pPr>
        <w:keepLines/>
        <w:spacing w:after="80" w:line="300" w:lineRule="auto"/>
        <w:ind w:left="317" w:firstLine="0"/>
      </w:pPr>
      <w:r>
        <w:t>Golden vectors: A versioned set of project-level message/key/signature fixtures shared across Rust, native, WASM, TypeScript, and Solidity tests.</w:t>
      </w:r>
    </w:p>
    <w:p>
      <w:pPr>
        <w:keepLines/>
        <w:spacing w:after="80" w:line="300" w:lineRule="auto"/>
        <w:ind w:left="317" w:firstLine="0"/>
      </w:pPr>
      <w:r>
        <w:t>Conformance report: Evidence that configured algorithms and operations pass the approved official/KAT vectors in native and WASM targets.</w:t>
      </w:r>
    </w:p>
    <w:p>
      <w:pPr>
        <w:keepLines/>
        <w:spacing w:after="80" w:line="300" w:lineRule="auto"/>
        <w:ind w:left="317" w:firstLine="0"/>
      </w:pPr>
      <w:r>
        <w:t>Benchmark report: Reproducible latency and size measurements for desktop native and mid-range Android WASM environments.</w:t>
      </w:r>
    </w:p>
    <w:p>
      <w:pPr>
        <w:keepLines/>
        <w:spacing w:after="80" w:line="300" w:lineRule="auto"/>
        <w:ind w:left="317" w:firstLine="0"/>
      </w:pPr>
      <w:r>
        <w:t>Falcon gas report: Correctness and gas results for the ETHFALCON dispute verifier under pinned EVM/compiler settings.</w:t>
      </w:r>
    </w:p>
    <w:p>
      <w:pPr>
        <w:keepLines/>
        <w:spacing w:after="80" w:line="300" w:lineRule="auto"/>
        <w:ind w:left="317" w:firstLine="0"/>
      </w:pPr>
      <w:r>
        <w:t>Operations documentation: Build, test, release, supported-platform, security-boundary, and dependency-update instructions.</w:t>
      </w:r>
    </w:p>
    <w:p>
      <w:pPr>
        <w:pStyle w:val="Heading1"/>
        <w:keepNext/>
      </w:pPr>
      <w:r>
        <w:t>10. Definition of Done</w:t>
      </w:r>
    </w:p>
    <w:p>
      <w:pPr/>
      <w:r>
        <w:t>Module 1 is done only when all of the following are true:</w:t>
      </w:r>
    </w:p>
    <w:p>
      <w:pPr>
        <w:keepLines/>
        <w:spacing w:after="80" w:line="300" w:lineRule="auto"/>
        <w:ind w:left="317" w:firstLine="0"/>
      </w:pPr>
      <w:r>
        <w:t>[ ] All four current algorithm IDs have reviewed keygen/sign/verify implementations in their required runtime targets.</w:t>
      </w:r>
    </w:p>
    <w:p>
      <w:pPr>
        <w:keepLines/>
        <w:spacing w:after="80" w:line="300" w:lineRule="auto"/>
        <w:ind w:left="317" w:firstLine="0"/>
      </w:pPr>
      <w:r>
        <w:t>[ ] The native and WASM public APIs are behaviorally equivalent and use the same byte/encoding contract.</w:t>
      </w:r>
    </w:p>
    <w:p>
      <w:pPr>
        <w:keepLines/>
        <w:spacing w:after="80" w:line="300" w:lineRule="auto"/>
        <w:ind w:left="317" w:firstLine="0"/>
      </w:pPr>
      <w:r>
        <w:t>[ ] Every approved conformance/KAT vector passes, and native/WASM cross-runtime tests pass.</w:t>
      </w:r>
    </w:p>
    <w:p>
      <w:pPr>
        <w:keepLines/>
        <w:spacing w:after="80" w:line="300" w:lineRule="auto"/>
        <w:ind w:left="317" w:firstLine="0"/>
      </w:pPr>
      <w:r>
        <w:t>[ ] The 'all six primitives' requirement is resolved in writing and the test report matches the resolved inventory.</w:t>
      </w:r>
    </w:p>
    <w:p>
      <w:pPr>
        <w:keepLines/>
        <w:spacing w:after="80" w:line="300" w:lineRule="auto"/>
        <w:ind w:left="317" w:firstLine="0"/>
      </w:pPr>
      <w:r>
        <w:t>[ ] Private-key material is not logged or transported outside its designated trust boundary by M1.</w:t>
      </w:r>
    </w:p>
    <w:p>
      <w:pPr>
        <w:keepLines/>
        <w:spacing w:after="80" w:line="300" w:lineRule="auto"/>
        <w:ind w:left="317" w:firstLine="0"/>
      </w:pPr>
      <w:r>
        <w:t>[ ] Release benchmarks are published for the reference desktop and named mid-range Android device/profile.</w:t>
      </w:r>
    </w:p>
    <w:p>
      <w:pPr>
        <w:keepLines/>
        <w:spacing w:after="80" w:line="300" w:lineRule="auto"/>
        <w:ind w:left="317" w:firstLine="0"/>
      </w:pPr>
      <w:r>
        <w:t>[ ] ETHFALCON positive/negative tests pass and the dispute-path gas report for RQ3 is published.</w:t>
      </w:r>
    </w:p>
    <w:p>
      <w:pPr>
        <w:keepLines/>
        <w:spacing w:after="80" w:line="300" w:lineRule="auto"/>
        <w:ind w:left="317" w:firstLine="0"/>
      </w:pPr>
      <w:r>
        <w:t>[ ] CI reproduces native, WASM, TypeScript, and Solidity checks from a clean checkout with pinned versions.</w:t>
      </w:r>
    </w:p>
    <w:p>
      <w:pPr>
        <w:keepLines/>
        <w:spacing w:after="80" w:line="300" w:lineRule="auto"/>
        <w:ind w:left="317" w:firstLine="0"/>
      </w:pPr>
      <w:r>
        <w:t>[ ] Artifacts include checksums, build metadata, licenses/SBOM, and a documented update procedure.</w:t>
      </w:r>
    </w:p>
    <w:p>
      <w:pPr>
        <w:keepLines/>
        <w:spacing w:after="80" w:line="300" w:lineRule="auto"/>
        <w:ind w:left="317" w:firstLine="0"/>
      </w:pPr>
      <w:r>
        <w:t>[ ] Dependent modules can import PQ Core through the typed package without calling liboqs/PQClean directly.</w:t>
      </w:r>
    </w:p>
    <w:p>
      <w:pPr>
        <w:pStyle w:val="Heading1"/>
        <w:keepNext/>
      </w:pPr>
      <w:r>
        <w:t>11. Key Risks and Controls</w:t>
      </w:r>
    </w:p>
    <w:tbl>
      <w:tblPr>
        <w:tblW w:type="dxa" w:w="9360"/>
        <w:tblLayout w:type="fixed"/>
        <w:tblLook w:firstColumn="1" w:firstRow="1" w:lastColumn="0" w:lastRow="0" w:noHBand="0" w:noVBand="1" w:val="04A0"/>
        <w:jc w:val="left"/>
        <w:tblInd w:w="120" w:type="dxa"/>
        <w:tblBorders>
          <w:top w:val="single" w:sz="6" w:space="0" w:color="B8C4D1"/>
          <w:left w:val="single" w:sz="6" w:space="0" w:color="B8C4D1"/>
          <w:bottom w:val="single" w:sz="6" w:space="0" w:color="B8C4D1"/>
          <w:right w:val="single" w:sz="6" w:space="0" w:color="B8C4D1"/>
          <w:insideH w:val="single" w:sz="6" w:space="0" w:color="B8C4D1"/>
          <w:insideV w:val="single" w:sz="6" w:space="0" w:color="B8C4D1"/>
        </w:tblBorders>
      </w:tblPr>
      <w:tblGrid>
        <w:gridCol w:w="2700"/>
        <w:gridCol w:w="6660"/>
      </w:tblGrid>
      <w:tr>
        <w:trPr>
          <w:tblHeader w:val="true"/>
          <w:cantSplit w:val="true"/>
        </w:trPr>
        <w:tc>
          <w:tcPr>
            <w:tcW w:type="dxa" w:w="2700"/>
            <w:vAlign w:val="center"/>
            <w:tcMar>
              <w:top w:w="80" w:type="dxa"/>
              <w:start w:w="120" w:type="dxa"/>
              <w:bottom w:w="80" w:type="dxa"/>
              <w:end w:w="120" w:type="dxa"/>
            </w:tcMar>
            <w:shd w:fill="E8EEF5"/>
          </w:tcPr>
          <w:p>
            <w:pPr>
              <w:spacing w:after="0" w:line="252" w:lineRule="auto"/>
              <w:jc w:val="left"/>
            </w:pPr>
            <w:r>
              <w:rPr>
                <w:rFonts w:ascii="Calibri" w:hAnsi="Calibri"/>
                <w:b/>
                <w:color w:val="18324A"/>
                <w:sz w:val="18"/>
              </w:rPr>
              <w:t>Risk</w:t>
            </w:r>
          </w:p>
        </w:tc>
        <w:tc>
          <w:tcPr>
            <w:tcW w:type="dxa" w:w="6660"/>
            <w:vAlign w:val="center"/>
            <w:tcMar>
              <w:top w:w="80" w:type="dxa"/>
              <w:start w:w="120" w:type="dxa"/>
              <w:bottom w:w="80" w:type="dxa"/>
              <w:end w:w="120" w:type="dxa"/>
            </w:tcMar>
            <w:shd w:fill="E8EEF5"/>
          </w:tcPr>
          <w:p>
            <w:pPr>
              <w:spacing w:after="0" w:line="252" w:lineRule="auto"/>
              <w:jc w:val="left"/>
            </w:pPr>
            <w:r>
              <w:rPr>
                <w:rFonts w:ascii="Calibri" w:hAnsi="Calibri"/>
                <w:b/>
                <w:color w:val="18324A"/>
                <w:sz w:val="18"/>
              </w:rPr>
              <w:t>Required control</w:t>
            </w:r>
          </w:p>
        </w:tc>
      </w:tr>
      <w:tr>
        <w:trPr>
          <w:cantSplit w:val="true"/>
        </w:trPr>
        <w:tc>
          <w:tcPr>
            <w:tcW w:type="dxa" w:w="2700"/>
            <w:vAlign w:val="center"/>
            <w:tcMar>
              <w:top w:w="80" w:type="dxa"/>
              <w:start w:w="120" w:type="dxa"/>
              <w:bottom w:w="80" w:type="dxa"/>
              <w:end w:w="120" w:type="dxa"/>
            </w:tcMar>
          </w:tcPr>
          <w:p>
            <w:pPr>
              <w:spacing w:after="0" w:line="259" w:lineRule="auto"/>
            </w:pPr>
            <w:r>
              <w:rPr>
                <w:rFonts w:ascii="Calibri" w:hAnsi="Calibri"/>
                <w:color w:val="222222"/>
                <w:sz w:val="18"/>
              </w:rPr>
              <w:t>Falcon maturity or side-channel risk</w:t>
            </w:r>
          </w:p>
        </w:tc>
        <w:tc>
          <w:tcPr>
            <w:tcW w:type="dxa" w:w="6660"/>
            <w:vAlign w:val="center"/>
            <w:tcMar>
              <w:top w:w="80" w:type="dxa"/>
              <w:start w:w="120" w:type="dxa"/>
              <w:bottom w:w="80" w:type="dxa"/>
              <w:end w:w="120" w:type="dxa"/>
            </w:tcMar>
          </w:tcPr>
          <w:p>
            <w:pPr>
              <w:spacing w:after="0" w:line="259" w:lineRule="auto"/>
            </w:pPr>
            <w:r>
              <w:rPr>
                <w:rFonts w:ascii="Calibri" w:hAnsi="Calibri"/>
                <w:color w:val="222222"/>
                <w:sz w:val="18"/>
              </w:rPr>
              <w:t>Keep Falcon device-scoped, pin the reviewed implementation, document status, and block expanded usage until reviewed.</w:t>
            </w:r>
          </w:p>
        </w:tc>
      </w:tr>
      <w:tr>
        <w:trPr>
          <w:cantSplit w:val="true"/>
        </w:trPr>
        <w:tc>
          <w:tcPr>
            <w:tcW w:type="dxa" w:w="2700"/>
            <w:shd w:fill="F7F9FB"/>
            <w:vAlign w:val="center"/>
            <w:tcMar>
              <w:top w:w="80" w:type="dxa"/>
              <w:start w:w="120" w:type="dxa"/>
              <w:bottom w:w="80" w:type="dxa"/>
              <w:end w:w="120" w:type="dxa"/>
            </w:tcMar>
          </w:tcPr>
          <w:p>
            <w:pPr>
              <w:spacing w:after="0" w:line="259" w:lineRule="auto"/>
            </w:pPr>
            <w:r>
              <w:rPr>
                <w:rFonts w:ascii="Calibri" w:hAnsi="Calibri"/>
                <w:color w:val="222222"/>
                <w:sz w:val="18"/>
              </w:rPr>
              <w:t>Native/WASM byte mismatch</w:t>
            </w:r>
          </w:p>
        </w:tc>
        <w:tc>
          <w:tcPr>
            <w:tcW w:type="dxa" w:w="6660"/>
            <w:shd w:fill="F7F9FB"/>
            <w:vAlign w:val="center"/>
            <w:tcMar>
              <w:top w:w="80" w:type="dxa"/>
              <w:start w:w="120" w:type="dxa"/>
              <w:bottom w:w="80" w:type="dxa"/>
              <w:end w:w="120" w:type="dxa"/>
            </w:tcMar>
          </w:tcPr>
          <w:p>
            <w:pPr>
              <w:spacing w:after="0" w:line="259" w:lineRule="auto"/>
            </w:pPr>
            <w:r>
              <w:rPr>
                <w:rFonts w:ascii="Calibri" w:hAnsi="Calibri"/>
                <w:color w:val="222222"/>
                <w:sz w:val="18"/>
              </w:rPr>
              <w:t>Use one Rust core, shared golden vectors, and bidirectional cross-runtime tests.</w:t>
            </w:r>
          </w:p>
        </w:tc>
      </w:tr>
      <w:tr>
        <w:trPr>
          <w:cantSplit w:val="true"/>
        </w:trPr>
        <w:tc>
          <w:tcPr>
            <w:tcW w:type="dxa" w:w="2700"/>
            <w:vAlign w:val="center"/>
            <w:tcMar>
              <w:top w:w="80" w:type="dxa"/>
              <w:start w:w="120" w:type="dxa"/>
              <w:bottom w:w="80" w:type="dxa"/>
              <w:end w:w="120" w:type="dxa"/>
            </w:tcMar>
          </w:tcPr>
          <w:p>
            <w:pPr>
              <w:spacing w:after="0" w:line="259" w:lineRule="auto"/>
            </w:pPr>
            <w:r>
              <w:rPr>
                <w:rFonts w:ascii="Calibri" w:hAnsi="Calibri"/>
                <w:color w:val="222222"/>
                <w:sz w:val="18"/>
              </w:rPr>
              <w:t>Secret exposure in JavaScript or logs</w:t>
            </w:r>
          </w:p>
        </w:tc>
        <w:tc>
          <w:tcPr>
            <w:tcW w:type="dxa" w:w="6660"/>
            <w:vAlign w:val="center"/>
            <w:tcMar>
              <w:top w:w="80" w:type="dxa"/>
              <w:start w:w="120" w:type="dxa"/>
              <w:bottom w:w="80" w:type="dxa"/>
              <w:end w:w="120" w:type="dxa"/>
            </w:tcMar>
          </w:tcPr>
          <w:p>
            <w:pPr>
              <w:spacing w:after="0" w:line="259" w:lineRule="auto"/>
            </w:pPr>
            <w:r>
              <w:rPr>
                <w:rFonts w:ascii="Calibri" w:hAnsi="Calibri"/>
                <w:color w:val="222222"/>
                <w:sz w:val="18"/>
              </w:rPr>
              <w:t>Use byte arrays, minimize copies, redact errors, define lifecycle ownership, and test that service APIs never require investor private keys.</w:t>
            </w:r>
          </w:p>
        </w:tc>
      </w:tr>
      <w:tr>
        <w:trPr>
          <w:cantSplit w:val="true"/>
        </w:trPr>
        <w:tc>
          <w:tcPr>
            <w:tcW w:type="dxa" w:w="2700"/>
            <w:shd w:fill="F7F9FB"/>
            <w:vAlign w:val="center"/>
            <w:tcMar>
              <w:top w:w="80" w:type="dxa"/>
              <w:start w:w="120" w:type="dxa"/>
              <w:bottom w:w="80" w:type="dxa"/>
              <w:end w:w="120" w:type="dxa"/>
            </w:tcMar>
          </w:tcPr>
          <w:p>
            <w:pPr>
              <w:spacing w:after="0" w:line="259" w:lineRule="auto"/>
            </w:pPr>
            <w:r>
              <w:rPr>
                <w:rFonts w:ascii="Calibri" w:hAnsi="Calibri"/>
                <w:color w:val="222222"/>
                <w:sz w:val="18"/>
              </w:rPr>
              <w:t>Unreproducible conformance claims</w:t>
            </w:r>
          </w:p>
        </w:tc>
        <w:tc>
          <w:tcPr>
            <w:tcW w:type="dxa" w:w="6660"/>
            <w:shd w:fill="F7F9FB"/>
            <w:vAlign w:val="center"/>
            <w:tcMar>
              <w:top w:w="80" w:type="dxa"/>
              <w:start w:w="120" w:type="dxa"/>
              <w:bottom w:w="80" w:type="dxa"/>
              <w:end w:w="120" w:type="dxa"/>
            </w:tcMar>
          </w:tcPr>
          <w:p>
            <w:pPr>
              <w:spacing w:after="0" w:line="259" w:lineRule="auto"/>
            </w:pPr>
            <w:r>
              <w:rPr>
                <w:rFonts w:ascii="Calibri" w:hAnsi="Calibri"/>
                <w:color w:val="222222"/>
                <w:sz w:val="18"/>
              </w:rPr>
              <w:t>Version every vector source and emit build/test metadata with pass counts.</w:t>
            </w:r>
          </w:p>
        </w:tc>
      </w:tr>
      <w:tr>
        <w:trPr>
          <w:cantSplit w:val="true"/>
        </w:trPr>
        <w:tc>
          <w:tcPr>
            <w:tcW w:type="dxa" w:w="2700"/>
            <w:vAlign w:val="center"/>
            <w:tcMar>
              <w:top w:w="80" w:type="dxa"/>
              <w:start w:w="120" w:type="dxa"/>
              <w:bottom w:w="80" w:type="dxa"/>
              <w:end w:w="120" w:type="dxa"/>
            </w:tcMar>
          </w:tcPr>
          <w:p>
            <w:pPr>
              <w:spacing w:after="0" w:line="259" w:lineRule="auto"/>
            </w:pPr>
            <w:r>
              <w:rPr>
                <w:rFonts w:ascii="Calibri" w:hAnsi="Calibri"/>
                <w:color w:val="222222"/>
                <w:sz w:val="18"/>
              </w:rPr>
              <w:t>On-chain verifier too expensive</w:t>
            </w:r>
          </w:p>
        </w:tc>
        <w:tc>
          <w:tcPr>
            <w:tcW w:type="dxa" w:w="6660"/>
            <w:vAlign w:val="center"/>
            <w:tcMar>
              <w:top w:w="80" w:type="dxa"/>
              <w:start w:w="120" w:type="dxa"/>
              <w:bottom w:w="80" w:type="dxa"/>
              <w:end w:w="120" w:type="dxa"/>
            </w:tcMar>
          </w:tcPr>
          <w:p>
            <w:pPr>
              <w:spacing w:after="0" w:line="259" w:lineRule="auto"/>
            </w:pPr>
            <w:r>
              <w:rPr>
                <w:rFonts w:ascii="Calibri" w:hAnsi="Calibri"/>
                <w:color w:val="222222"/>
                <w:sz w:val="18"/>
              </w:rPr>
              <w:t>Measure early; keep it dispute-only or redesign the adjudication path based on the published gas report.</w:t>
            </w:r>
          </w:p>
        </w:tc>
      </w:tr>
      <w:tr>
        <w:trPr>
          <w:cantSplit w:val="true"/>
        </w:trPr>
        <w:tc>
          <w:tcPr>
            <w:tcW w:type="dxa" w:w="2700"/>
            <w:shd w:fill="F7F9FB"/>
            <w:vAlign w:val="center"/>
            <w:tcMar>
              <w:top w:w="80" w:type="dxa"/>
              <w:start w:w="120" w:type="dxa"/>
              <w:bottom w:w="80" w:type="dxa"/>
              <w:end w:w="120" w:type="dxa"/>
            </w:tcMar>
          </w:tcPr>
          <w:p>
            <w:pPr>
              <w:spacing w:after="0" w:line="259" w:lineRule="auto"/>
            </w:pPr>
            <w:r>
              <w:rPr>
                <w:rFonts w:ascii="Calibri" w:hAnsi="Calibri"/>
                <w:color w:val="222222"/>
                <w:sz w:val="18"/>
              </w:rPr>
              <w:t>Cryptographic dependency drift</w:t>
            </w:r>
          </w:p>
        </w:tc>
        <w:tc>
          <w:tcPr>
            <w:tcW w:type="dxa" w:w="6660"/>
            <w:shd w:fill="F7F9FB"/>
            <w:vAlign w:val="center"/>
            <w:tcMar>
              <w:top w:w="80" w:type="dxa"/>
              <w:start w:w="120" w:type="dxa"/>
              <w:bottom w:w="80" w:type="dxa"/>
              <w:end w:w="120" w:type="dxa"/>
            </w:tcMar>
          </w:tcPr>
          <w:p>
            <w:pPr>
              <w:spacing w:after="0" w:line="259" w:lineRule="auto"/>
            </w:pPr>
            <w:r>
              <w:rPr>
                <w:rFonts w:ascii="Calibri" w:hAnsi="Calibri"/>
                <w:color w:val="222222"/>
                <w:sz w:val="18"/>
              </w:rPr>
              <w:t>Pin versions/commits, audit licenses and vulnerabilities, create an SBOM, and require re-running vectors and benchmarks for upgrades.</w:t>
            </w:r>
          </w:p>
        </w:tc>
      </w:tr>
    </w:tbl>
    <w:p>
      <w:pPr>
        <w:spacing w:after="40" w:line="40" w:lineRule="exact"/>
      </w:pPr>
    </w:p>
    <w:p>
      <w:pPr>
        <w:pStyle w:val="Heading1"/>
        <w:keepNext/>
      </w:pPr>
      <w:r>
        <w:t>12. Project Sources Used</w:t>
      </w:r>
    </w:p>
    <w:p>
      <w:pPr>
        <w:spacing w:after="80"/>
        <w:ind w:left="317"/>
      </w:pPr>
      <w:r>
        <w:t>Primary project sources: docs/RWA-Vault_Module_Build_Plan.docx; packages/pq-core/src/index.ts; packages/pq-core/package.json; packages/pq-core/native/rust-toolchain.toml; and docs/adr/0001-record-format.md. Together they establish the M1 scope, algorithm roles, command intent, toolchain, and serialization boundary used in this manual. First executable step: close the Stage 0 decisions, then create packages/pq-core/native/Cargo.toml and a one-algorithm native/WASM vertical slice; the current build scripts cannot succeed until that crate exists.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B6673"/>
        <w:sz w:val="18"/>
      </w:rPr>
      <w:t xml:space="preserve">Internal engineering reference  |  Page </w:t>
    </w:r>
    <w:r>
      <w:rPr>
        <w:rFonts w:ascii="Calibri" w:hAnsi="Calibri"/>
        <w:color w:val="5B6673"/>
        <w:sz w:val="18"/>
      </w:rPr>
      <w:fldChar w:fldCharType="begin"/>
      <w:instrText xml:space="preserve">PAGE</w:instrText>
      <w:fldChar w:fldCharType="separate"/>
      <w:t>1</w:t>
      <w:fldChar w:fldCharType="end"/>
    </w:r>
    <w:r>
      <w:rPr>
        <w:rFonts w:ascii="Calibri" w:hAnsi="Calibri"/>
        <w:color w:val="5B6673"/>
        <w:sz w:val="18"/>
      </w:rPr>
      <w:t xml:space="preserve"> of </w:t>
    </w:r>
    <w:r>
      <w:rPr>
        <w:rFonts w:ascii="Calibri" w:hAnsi="Calibri"/>
        <w:color w:val="5B6673"/>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673"/>
        <w:sz w:val="18"/>
      </w:rPr>
      <w:t>RWA-Vault  |  Module 1 Implementation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ind w:left="0" w:firstLine="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ind w:left="0" w:firstLine="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ind w:left="0" w:firstLine="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ind w:left="0" w:firstLine="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900" w:hanging="271"/>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RWA-Vault Module 1 - PQ Core Implementation Manual</dc:title>
  <dc:subject>Project-specific implementation manual for Module 1</dc:subject>
  <dc:creator>RWA-Vault Engineering</dc:creator>
  <cp:keywords>RWA-Vault, Module 1, PQ Core, Falcon-512, ML-DSA, SLH-DSA, WASM, liboqs</cp:keywords>
  <dc:description>generated by python-docx</dc:description>
  <cp:lastModifiedBy/>
  <cp:revision>1</cp:revision>
  <dcterms:created xsi:type="dcterms:W3CDTF">2013-12-23T23:15:00Z</dcterms:created>
  <dcterms:modified xsi:type="dcterms:W3CDTF">2013-12-23T23:15:00Z</dcterms:modified>
  <cp:category/>
</cp:coreProperties>
</file>