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60"/>
          <w:szCs w:val="60"/>
        </w:rPr>
        <w:t xml:space="preserve">RWA-VAULT</w:t>
      </w:r>
    </w:p>
    <w:p>
      <w:pPr>
        <w:spacing w:after="40" w:before="160"/>
        <w:jc w:val="center"/>
      </w:pPr>
      <w:r>
        <w:rPr>
          <w:b/>
          <w:bCs/>
          <w:color w:val="2E5395"/>
          <w:sz w:val="30"/>
          <w:szCs w:val="30"/>
        </w:rPr>
        <w:t xml:space="preserve">Module Build Plan &amp; Task Breakdown</w:t>
      </w:r>
    </w:p>
    <w:p>
      <w:pPr>
        <w:spacing w:after="400"/>
        <w:jc w:val="center"/>
      </w:pPr>
      <w:r>
        <w:rPr>
          <w:i/>
          <w:iCs/>
          <w:color w:val="6B7280"/>
          <w:sz w:val="20"/>
          <w:szCs w:val="20"/>
        </w:rPr>
        <w:t xml:space="preserve">A Post-Quantum Anchored Protocol for Tokenised Real-World Assets with Collateralised Micro-Liquidity</w:t>
      </w:r>
    </w:p>
    <w:p>
      <w:pPr>
        <w:spacing w:after="20"/>
        <w:jc w:val="center"/>
      </w:pPr>
      <w:r>
        <w:rPr>
          <w:color w:val="444444"/>
          <w:sz w:val="18"/>
          <w:szCs w:val="18"/>
        </w:rPr>
        <w:t xml:space="preserve">Final Year Project — Complete Technical Plan</w:t>
      </w:r>
    </w:p>
    <w:p>
      <w:pPr>
        <w:spacing w:after="20"/>
        <w:jc w:val="center"/>
      </w:pPr>
      <w:r>
        <w:rPr>
          <w:color w:val="444444"/>
          <w:sz w:val="18"/>
          <w:szCs w:val="18"/>
        </w:rPr>
        <w:t xml:space="preserve">Fahad Naseer (403897)   ·   Hassan Attique (482073)   ·   Fawaz Asif (473423)</w:t>
      </w:r>
    </w:p>
    <w:p>
      <w:pPr>
        <w:spacing w:after="1200"/>
        <w:jc w:val="center"/>
      </w:pPr>
      <w:r>
        <w:rPr>
          <w:color w:val="6B7280"/>
          <w:sz w:val="16"/>
          <w:szCs w:val="16"/>
        </w:rPr>
        <w:t xml:space="preserve">Derived from RWA-Vault Proposal v2</w:t>
      </w:r>
    </w:p>
    <w:p>
      <w:r>
        <w:br w:type="page"/>
      </w:r>
    </w:p>
    <w:p>
      <w:pPr>
        <w:pStyle w:val="Heading1"/>
        <w:pBdr>
          <w:bottom w:val="single" w:color="1F3864" w:sz="6" w:space="4"/>
        </w:pBdr>
        <w:spacing w:after="160" w:before="360"/>
      </w:pPr>
      <w:r>
        <w:rPr>
          <w:b/>
          <w:bCs/>
          <w:color w:val="1F3864"/>
          <w:sz w:val="30"/>
          <w:szCs w:val="30"/>
        </w:rPr>
        <w:t xml:space="preserve">How to read this document</w:t>
      </w:r>
    </w:p>
    <w:p>
      <w:pPr>
        <w:spacing w:after="120" w:line="300"/>
      </w:pPr>
      <w:r>
        <w:rPr>
          <w:sz w:val="21"/>
          <w:szCs w:val="21"/>
        </w:rPr>
        <w:t xml:space="preserve">This document translates the RWA-Vault proposal into a buildable plan: what each module owns, what tasks close it, what it depends on, and the order to build in. It does not restate the mathematics or the security arguments already made in the proposal — see the PDF for those. Each module card below states only what a developer needs to start work: the deliverable, the acceptance test, and the dependency it is blocked on.</w:t>
      </w:r>
    </w:p>
    <w:p>
      <w:pPr>
        <w:spacing w:after="120" w:line="300"/>
      </w:pPr>
      <w:r>
        <w:rPr>
          <w:sz w:val="21"/>
          <w:szCs w:val="21"/>
        </w:rPr>
        <w:t xml:space="preserve">The project ships in 13 two-week sprints across four phases, gated by four milestones (MS1–MS4). Vertical-slice delivery means the investment path (register → tokenise → deposit → show balance) is complete and demoed at week 11, before lending is touched — so an end-to-end system exists early and integration risk surfaces early rather than at week 24.</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740"/>
      </w:tblGrid>
      <w:tr>
        <w:trPr>
          <w:tblHeader/>
        </w:trPr>
        <w:tc>
          <w:tcPr>
            <w:tcW w:type="dxa" w:w="3600"/>
            <w:shd w:fill="1F3864" w:val="clear"/>
            <w:tcMar>
              <w:top w:type="dxa" w:w="80"/>
              <w:left w:type="dxa" w:w="100"/>
              <w:bottom w:type="dxa" w:w="80"/>
              <w:right w:type="dxa" w:w="100"/>
            </w:tcMar>
            <w:vAlign w:val="center"/>
          </w:tcPr>
          <w:p>
            <w:pPr>
              <w:jc w:val="left"/>
            </w:pPr>
            <w:r>
              <w:rPr>
                <w:b/>
                <w:bCs/>
                <w:color w:val="FFFFFF"/>
                <w:sz w:val="18"/>
                <w:szCs w:val="18"/>
              </w:rPr>
              <w:t xml:space="preserve">Phase</w:t>
            </w:r>
          </w:p>
        </w:tc>
        <w:tc>
          <w:tcPr>
            <w:tcW w:type="dxa" w:w="1600"/>
            <w:shd w:fill="1F3864" w:val="clear"/>
            <w:tcMar>
              <w:top w:type="dxa" w:w="80"/>
              <w:left w:type="dxa" w:w="100"/>
              <w:bottom w:type="dxa" w:w="80"/>
              <w:right w:type="dxa" w:w="100"/>
            </w:tcMar>
            <w:vAlign w:val="center"/>
          </w:tcPr>
          <w:p>
            <w:pPr>
              <w:jc w:val="left"/>
            </w:pPr>
            <w:r>
              <w:rPr>
                <w:b/>
                <w:bCs/>
                <w:color w:val="FFFFFF"/>
                <w:sz w:val="18"/>
                <w:szCs w:val="18"/>
              </w:rPr>
              <w:t xml:space="preserve">Weeks</w:t>
            </w:r>
          </w:p>
        </w:tc>
        <w:tc>
          <w:tcPr>
            <w:tcW w:type="dxa" w:w="1600"/>
            <w:shd w:fill="1F3864" w:val="clear"/>
            <w:tcMar>
              <w:top w:type="dxa" w:w="80"/>
              <w:left w:type="dxa" w:w="100"/>
              <w:bottom w:type="dxa" w:w="80"/>
              <w:right w:type="dxa" w:w="100"/>
            </w:tcMar>
            <w:vAlign w:val="center"/>
          </w:tcPr>
          <w:p>
            <w:pPr>
              <w:jc w:val="left"/>
            </w:pPr>
            <w:r>
              <w:rPr>
                <w:b/>
                <w:bCs/>
                <w:color w:val="FFFFFF"/>
                <w:sz w:val="18"/>
                <w:szCs w:val="18"/>
              </w:rPr>
              <w:t xml:space="preserve">Sprints</w:t>
            </w:r>
          </w:p>
        </w:tc>
        <w:tc>
          <w:tcPr>
            <w:tcW w:type="dxa" w:w="2740"/>
            <w:shd w:fill="1F3864" w:val="clear"/>
            <w:tcMar>
              <w:top w:type="dxa" w:w="80"/>
              <w:left w:type="dxa" w:w="100"/>
              <w:bottom w:type="dxa" w:w="80"/>
              <w:right w:type="dxa" w:w="100"/>
            </w:tcMar>
            <w:vAlign w:val="center"/>
          </w:tcPr>
          <w:p>
            <w:pPr>
              <w:jc w:val="left"/>
            </w:pPr>
            <w:r>
              <w:rPr>
                <w:b/>
                <w:bCs/>
                <w:color w:val="FFFFFF"/>
                <w:sz w:val="18"/>
                <w:szCs w:val="18"/>
              </w:rPr>
              <w:t xml:space="preserve">Modules</w:t>
            </w:r>
          </w:p>
        </w:tc>
      </w:tr>
      <w:tr>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Phase 1 — Foundation &amp; Crypto Core</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Weeks 1–6</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Sprints 1–3</w:t>
            </w:r>
          </w:p>
        </w:tc>
        <w:tc>
          <w:tcPr>
            <w:tcW w:type="dxa" w:w="274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M0, M1, M2, M3, M4</w:t>
            </w:r>
          </w:p>
        </w:tc>
      </w:tr>
      <w:tr>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Phase 2 — Investment Path</w:t>
            </w:r>
          </w:p>
        </w:tc>
        <w:tc>
          <w:tcPr>
            <w:tcW w:type="dxa" w:w="1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Weeks 7–11</w:t>
            </w:r>
          </w:p>
        </w:tc>
        <w:tc>
          <w:tcPr>
            <w:tcW w:type="dxa" w:w="1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Sprints 4–6</w:t>
            </w:r>
          </w:p>
        </w:tc>
        <w:tc>
          <w:tcPr>
            <w:tcW w:type="dxa" w:w="274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M5, M8, M9</w:t>
            </w:r>
          </w:p>
        </w:tc>
      </w:tr>
      <w:tr>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Phase 3 — Lending &amp; Risk</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Weeks 12–19</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Sprints 7–10</w:t>
            </w:r>
          </w:p>
        </w:tc>
        <w:tc>
          <w:tcPr>
            <w:tcW w:type="dxa" w:w="274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M6, M7, M10</w:t>
            </w:r>
          </w:p>
        </w:tc>
      </w:tr>
      <w:tr>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Phase 4 — Evaluation &amp; Thesis</w:t>
            </w:r>
          </w:p>
        </w:tc>
        <w:tc>
          <w:tcPr>
            <w:tcW w:type="dxa" w:w="1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Weeks 20–24</w:t>
            </w:r>
          </w:p>
        </w:tc>
        <w:tc>
          <w:tcPr>
            <w:tcW w:type="dxa" w:w="1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Sprints 11–13</w:t>
            </w:r>
          </w:p>
        </w:tc>
        <w:tc>
          <w:tcPr>
            <w:tcW w:type="dxa" w:w="274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M11</w:t>
            </w:r>
          </w:p>
        </w:tc>
      </w:tr>
    </w:tbl>
    <w:p>
      <w:pPr>
        <w:spacing w:after="200"/>
      </w:pPr>
    </w:p>
    <w:p>
      <w:pPr>
        <w:pStyle w:val="Heading3"/>
        <w:spacing w:after="100" w:before="200"/>
      </w:pPr>
      <w:r>
        <w:rPr>
          <w:b/>
          <w:bCs/>
          <w:color w:val="222222"/>
          <w:sz w:val="22"/>
          <w:szCs w:val="22"/>
        </w:rPr>
        <w:t xml:space="preserve">Milestone gates</w:t>
      </w:r>
    </w:p>
    <w:p>
      <w:pPr>
        <w:pStyle w:val="ListParagraph"/>
        <w:numPr>
          <w:ilvl w:val="0"/>
          <w:numId w:val="2"/>
        </w:numPr>
        <w:spacing w:after="60" w:line="280"/>
      </w:pPr>
      <w:r>
        <w:rPr>
          <w:sz w:val="20"/>
          <w:szCs w:val="20"/>
        </w:rPr>
        <w:t xml:space="preserve">MS1 (week 6) — a gold lot registered and tokenised against an attested reserve.</w:t>
      </w:r>
    </w:p>
    <w:p>
      <w:pPr>
        <w:pStyle w:val="ListParagraph"/>
        <w:numPr>
          <w:ilvl w:val="0"/>
          <w:numId w:val="2"/>
        </w:numPr>
        <w:spacing w:after="60" w:line="280"/>
      </w:pPr>
      <w:r>
        <w:rPr>
          <w:sz w:val="20"/>
          <w:szCs w:val="20"/>
        </w:rPr>
        <w:t xml:space="preserve">MS2 (week 11, FYP-I deliverable) — investment path live on testnet with envelopes and anchoring; a PKR 5,000 deposit yields a Merkle proof that verifies offline.</w:t>
      </w:r>
    </w:p>
    <w:p>
      <w:pPr>
        <w:pStyle w:val="ListParagraph"/>
        <w:numPr>
          <w:ilvl w:val="0"/>
          <w:numId w:val="2"/>
        </w:numPr>
        <w:spacing w:after="60" w:line="280"/>
      </w:pPr>
      <w:r>
        <w:rPr>
          <w:sz w:val="20"/>
          <w:szCs w:val="20"/>
        </w:rPr>
        <w:t xml:space="preserve">MS3 (week 19) — lock, borrow, price drop, buffer absorption and liquidation end-to-end with zero bad debt, and at least one liquidation demonstrably prevented that the control build suffers.</w:t>
      </w:r>
    </w:p>
    <w:p>
      <w:pPr>
        <w:pStyle w:val="ListParagraph"/>
        <w:numPr>
          <w:ilvl w:val="0"/>
          <w:numId w:val="2"/>
        </w:numPr>
        <w:spacing w:after="60" w:line="280"/>
      </w:pPr>
      <w:r>
        <w:rPr>
          <w:sz w:val="20"/>
          <w:szCs w:val="20"/>
        </w:rPr>
        <w:t xml:space="preserve">MS4 (week 24) — every research question answered with measured data.</w:t>
      </w:r>
    </w:p>
    <w:p>
      <w:r>
        <w:br w:type="page"/>
      </w:r>
    </w:p>
    <w:p>
      <w:pPr>
        <w:pStyle w:val="Heading1"/>
        <w:pBdr>
          <w:bottom w:val="single" w:color="1F3864" w:sz="6" w:space="4"/>
        </w:pBdr>
        <w:spacing w:after="160" w:before="360"/>
      </w:pPr>
      <w:r>
        <w:rPr>
          <w:b/>
          <w:bCs/>
          <w:color w:val="1F3864"/>
          <w:sz w:val="30"/>
          <w:szCs w:val="30"/>
        </w:rPr>
        <w:t xml:space="preserve">Phase 1 — Foundation &amp; Crypto Core</w:t>
      </w:r>
    </w:p>
    <w:p>
      <w:pPr>
        <w:spacing w:after="160"/>
      </w:pPr>
      <w:r>
        <w:rPr>
          <w:b/>
          <w:bCs/>
          <w:color w:val="6B7280"/>
          <w:sz w:val="18"/>
          <w:szCs w:val="18"/>
        </w:rPr>
        <w:t xml:space="preserve">Weeks: </w:t>
      </w:r>
      <w:r>
        <w:rPr>
          <w:color w:val="333333"/>
          <w:sz w:val="18"/>
          <w:szCs w:val="18"/>
        </w:rPr>
        <w:t xml:space="preserve">1–6</w:t>
      </w:r>
      <w:r>
        <w:rPr>
          <w:sz w:val="18"/>
          <w:szCs w:val="18"/>
        </w:rPr>
        <w:t xml:space="preserve">    </w:t>
      </w:r>
      <w:r>
        <w:rPr>
          <w:b/>
          <w:bCs/>
          <w:color w:val="6B7280"/>
          <w:sz w:val="18"/>
          <w:szCs w:val="18"/>
        </w:rPr>
        <w:t xml:space="preserve">Sprints: </w:t>
      </w:r>
      <w:r>
        <w:rPr>
          <w:color w:val="333333"/>
          <w:sz w:val="18"/>
          <w:szCs w:val="18"/>
        </w:rPr>
        <w:t xml:space="preserve">1–3</w:t>
      </w:r>
      <w:r>
        <w:rPr>
          <w:sz w:val="18"/>
          <w:szCs w:val="18"/>
        </w:rPr>
        <w:t xml:space="preserve">    </w:t>
      </w:r>
      <w:r>
        <w:rPr>
          <w:b/>
          <w:bCs/>
          <w:color w:val="6B7280"/>
          <w:sz w:val="18"/>
          <w:szCs w:val="18"/>
        </w:rPr>
        <w:t xml:space="preserve">Gate: </w:t>
      </w:r>
      <w:r>
        <w:rPr>
          <w:color w:val="333333"/>
          <w:sz w:val="18"/>
          <w:szCs w:val="18"/>
        </w:rPr>
        <w:t xml:space="preserve">MS1 — Week 6</w:t>
      </w:r>
    </w:p>
    <w:p>
      <w:pPr>
        <w:spacing w:after="120" w:line="300"/>
      </w:pPr>
      <w:r>
        <w:rPr>
          <w:sz w:val="21"/>
          <w:szCs w:val="21"/>
        </w:rPr>
        <w:t xml:space="preserve">This phase builds the layer everything else stands on: the repo and CI, the post-quantum cryptography, the authentication envelope, and the two contracts (asset registry, vault) that let a real asset become a tradable share. Nothing here is asset-class-specific — it is deliberately generic so gold, T-bills, Sukuk and REITs all reuse it unchanged.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395" w:sz="4"/>
              <w:left w:val="single" w:color="2E5395" w:sz="4"/>
              <w:bottom w:val="single" w:color="2E5395" w:sz="2"/>
              <w:right w:val="single" w:color="2E5395" w:sz="4"/>
            </w:tcBorders>
            <w:shd w:fill="DCE6F1" w:val="clear"/>
            <w:tcMar>
              <w:top w:type="dxa" w:w="100"/>
              <w:left w:type="dxa" w:w="140"/>
              <w:bottom w:type="dxa" w:w="100"/>
              <w:right w:type="dxa" w:w="140"/>
            </w:tcMar>
          </w:tcPr>
          <w:p>
            <w:r>
              <w:rPr>
                <w:b/>
                <w:bCs/>
                <w:color w:val="2E5395"/>
                <w:sz w:val="24"/>
                <w:szCs w:val="24"/>
              </w:rPr>
              <w:t xml:space="preserve">M0  </w:t>
            </w:r>
            <w:r>
              <w:rPr>
                <w:b/>
                <w:bCs/>
                <w:color w:val="1A1A1A"/>
                <w:sz w:val="24"/>
                <w:szCs w:val="24"/>
              </w:rPr>
              <w:t xml:space="preserve">Foundation &amp; Devnet</w:t>
            </w:r>
          </w:p>
          <w:p>
            <w:pPr>
              <w:spacing w:before="40"/>
            </w:pPr>
            <w:r>
              <w:rPr>
                <w:b/>
                <w:bCs/>
                <w:color w:val="6B7280"/>
                <w:sz w:val="17"/>
                <w:szCs w:val="17"/>
              </w:rPr>
              <w:t xml:space="preserve">Phase: </w:t>
            </w:r>
            <w:r>
              <w:rPr>
                <w:color w:val="333333"/>
                <w:sz w:val="17"/>
                <w:szCs w:val="17"/>
              </w:rPr>
              <w:t xml:space="preserve">Foundation   </w:t>
            </w:r>
            <w:r>
              <w:rPr>
                <w:b/>
                <w:bCs/>
                <w:color w:val="6B7280"/>
                <w:sz w:val="17"/>
                <w:szCs w:val="17"/>
              </w:rPr>
              <w:t xml:space="preserve">Sprint: </w:t>
            </w:r>
            <w:r>
              <w:rPr>
                <w:color w:val="333333"/>
                <w:sz w:val="17"/>
                <w:szCs w:val="17"/>
              </w:rPr>
              <w:t xml:space="preserve">Sprint 1</w:t>
            </w:r>
          </w:p>
        </w:tc>
      </w:tr>
      <w:tr>
        <w:tc>
          <w:tcPr>
            <w:tcW w:type="dxa" w:w="10080"/>
            <w:tcBorders>
              <w:top w:val="none"/>
              <w:left w:val="single" w:color="2E5395" w:sz="4"/>
              <w:bottom w:val="single" w:color="2E5395" w:sz="4"/>
              <w:right w:val="single" w:color="2E5395"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pnpm workspace: packages/contracts, packages/pq-core, packages/envelope, apps/api, apps/web</w:t>
            </w:r>
          </w:p>
          <w:p>
            <w:pPr>
              <w:pStyle w:val="ListParagraph"/>
              <w:numPr>
                <w:ilvl w:val="0"/>
                <w:numId w:val="2"/>
              </w:numPr>
              <w:spacing w:after="60" w:line="280"/>
            </w:pPr>
            <w:r>
              <w:rPr>
                <w:sz w:val="20"/>
                <w:szCs w:val="20"/>
              </w:rPr>
              <w:t xml:space="preserve">Foundry project (Solidity 0.8.26, OpenZeppelin 5.x) inside packages/contracts</w:t>
            </w:r>
          </w:p>
          <w:p>
            <w:pPr>
              <w:pStyle w:val="ListParagraph"/>
              <w:numPr>
                <w:ilvl w:val="0"/>
                <w:numId w:val="2"/>
              </w:numPr>
              <w:spacing w:after="60" w:line="280"/>
            </w:pPr>
            <w:r>
              <w:rPr>
                <w:sz w:val="20"/>
                <w:szCs w:val="20"/>
              </w:rPr>
              <w:t xml:space="preserve">Docker Compose: Anvil local chain, PostgreSQL 16, Redis 7 — plus a documented self-hosted equivalent for every free-tier service</w:t>
            </w:r>
          </w:p>
          <w:p>
            <w:pPr>
              <w:pStyle w:val="ListParagraph"/>
              <w:numPr>
                <w:ilvl w:val="0"/>
                <w:numId w:val="2"/>
              </w:numPr>
              <w:spacing w:after="60" w:line="280"/>
            </w:pPr>
            <w:r>
              <w:rPr>
                <w:sz w:val="20"/>
                <w:szCs w:val="20"/>
              </w:rPr>
              <w:t xml:space="preserve">GitHub Actions CI: forge build/test/fmt, pnpm -r build/test, blocking merge on failure</w:t>
            </w:r>
          </w:p>
          <w:p>
            <w:pPr>
              <w:pStyle w:val="ListParagraph"/>
              <w:numPr>
                <w:ilvl w:val="0"/>
                <w:numId w:val="2"/>
              </w:numPr>
              <w:spacing w:after="60" w:line="280"/>
            </w:pPr>
            <w:r>
              <w:rPr>
                <w:sz w:val="20"/>
                <w:szCs w:val="20"/>
              </w:rPr>
              <w:t xml:space="preserve">Deployment scripts targeting Arbitrum Sepolia</w:t>
            </w:r>
          </w:p>
          <w:p>
            <w:pPr>
              <w:pStyle w:val="ListParagraph"/>
              <w:numPr>
                <w:ilvl w:val="0"/>
                <w:numId w:val="2"/>
              </w:numPr>
              <w:spacing w:after="60" w:line="280"/>
            </w:pPr>
            <w:r>
              <w:rPr>
                <w:sz w:val="20"/>
                <w:szCs w:val="20"/>
              </w:rPr>
              <w:t xml:space="preserve">Branch protection: trunk-based development, feature flags, two required approvals</w:t>
            </w:r>
          </w:p>
          <w:p>
            <w:pPr>
              <w:spacing w:after="40" w:before="140"/>
            </w:pPr>
            <w:r>
              <w:rPr>
                <w:b/>
                <w:bCs/>
                <w:caps/>
                <w:color w:val="6B7280"/>
                <w:sz w:val="18"/>
                <w:szCs w:val="18"/>
              </w:rPr>
              <w:t xml:space="preserve">Depends on</w:t>
            </w:r>
          </w:p>
          <w:p>
            <w:pPr>
              <w:spacing w:after="40"/>
            </w:pPr>
            <w:r>
              <w:rPr>
                <w:i/>
                <w:iCs/>
                <w:color w:val="333333"/>
                <w:sz w:val="20"/>
                <w:szCs w:val="20"/>
              </w:rPr>
              <w:t xml:space="preserve">Nothing — this is the entry point.</w:t>
            </w:r>
          </w:p>
          <w:p>
            <w:pPr>
              <w:spacing w:after="40" w:before="140"/>
            </w:pPr>
            <w:r>
              <w:rPr>
                <w:b/>
                <w:bCs/>
                <w:caps/>
                <w:color w:val="1E7A46"/>
                <w:sz w:val="18"/>
                <w:szCs w:val="18"/>
              </w:rPr>
              <w:t xml:space="preserve">Done when</w:t>
            </w:r>
          </w:p>
          <w:p>
            <w:pPr>
              <w:spacing w:after="20"/>
            </w:pPr>
            <w:r>
              <w:rPr>
                <w:color w:val="1A1A1A"/>
                <w:sz w:val="20"/>
                <w:szCs w:val="20"/>
              </w:rPr>
              <w:t xml:space="preserve">One-command devnet boots on a clean clone; CI is green.</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395" w:sz="4"/>
              <w:left w:val="single" w:color="2E5395" w:sz="4"/>
              <w:bottom w:val="single" w:color="2E5395" w:sz="2"/>
              <w:right w:val="single" w:color="2E5395" w:sz="4"/>
            </w:tcBorders>
            <w:shd w:fill="DCE6F1" w:val="clear"/>
            <w:tcMar>
              <w:top w:type="dxa" w:w="100"/>
              <w:left w:type="dxa" w:w="140"/>
              <w:bottom w:type="dxa" w:w="100"/>
              <w:right w:type="dxa" w:w="140"/>
            </w:tcMar>
          </w:tcPr>
          <w:p>
            <w:r>
              <w:rPr>
                <w:b/>
                <w:bCs/>
                <w:color w:val="2E5395"/>
                <w:sz w:val="24"/>
                <w:szCs w:val="24"/>
              </w:rPr>
              <w:t xml:space="preserve">M1  </w:t>
            </w:r>
            <w:r>
              <w:rPr>
                <w:b/>
                <w:bCs/>
                <w:color w:val="1A1A1A"/>
                <w:sz w:val="24"/>
                <w:szCs w:val="24"/>
              </w:rPr>
              <w:t xml:space="preserve">PQ Core</w:t>
            </w:r>
          </w:p>
          <w:p>
            <w:pPr>
              <w:spacing w:before="40"/>
            </w:pPr>
            <w:r>
              <w:rPr>
                <w:b/>
                <w:bCs/>
                <w:color w:val="6B7280"/>
                <w:sz w:val="17"/>
                <w:szCs w:val="17"/>
              </w:rPr>
              <w:t xml:space="preserve">Phase: </w:t>
            </w:r>
            <w:r>
              <w:rPr>
                <w:color w:val="333333"/>
                <w:sz w:val="17"/>
                <w:szCs w:val="17"/>
              </w:rPr>
              <w:t xml:space="preserve">Foundation   </w:t>
            </w:r>
            <w:r>
              <w:rPr>
                <w:b/>
                <w:bCs/>
                <w:color w:val="6B7280"/>
                <w:sz w:val="17"/>
                <w:szCs w:val="17"/>
              </w:rPr>
              <w:t xml:space="preserve">Sprint: </w:t>
            </w:r>
            <w:r>
              <w:rPr>
                <w:color w:val="333333"/>
                <w:sz w:val="17"/>
                <w:szCs w:val="17"/>
              </w:rPr>
              <w:t xml:space="preserve">Sprint 1–2</w:t>
            </w:r>
          </w:p>
        </w:tc>
      </w:tr>
      <w:tr>
        <w:tc>
          <w:tcPr>
            <w:tcW w:type="dxa" w:w="10080"/>
            <w:tcBorders>
              <w:top w:val="none"/>
              <w:left w:val="single" w:color="2E5395" w:sz="4"/>
              <w:bottom w:val="single" w:color="2E5395" w:sz="4"/>
              <w:right w:val="single" w:color="2E5395"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Rust bindings over liboqs 0.12 / PQClean for Falcon-512, ML-DSA-65, ML-DSA-44, SLH-DSA-SHA2-128s</w:t>
            </w:r>
          </w:p>
          <w:p>
            <w:pPr>
              <w:pStyle w:val="ListParagraph"/>
              <w:numPr>
                <w:ilvl w:val="0"/>
                <w:numId w:val="2"/>
              </w:numPr>
              <w:spacing w:after="60" w:line="280"/>
            </w:pPr>
            <w:r>
              <w:rPr>
                <w:sz w:val="20"/>
                <w:szCs w:val="20"/>
              </w:rPr>
              <w:t xml:space="preserve">wasm-pack build producing a browser WASM target (signing happens client-side; key never leaves device)</w:t>
            </w:r>
          </w:p>
          <w:p>
            <w:pPr>
              <w:pStyle w:val="ListParagraph"/>
              <w:numPr>
                <w:ilvl w:val="0"/>
                <w:numId w:val="2"/>
              </w:numPr>
              <w:spacing w:after="60" w:line="280"/>
            </w:pPr>
            <w:r>
              <w:rPr>
                <w:sz w:val="20"/>
                <w:szCs w:val="20"/>
              </w:rPr>
              <w:t xml:space="preserve">Native build for server-side signing (custodian, oracle, admin roles)</w:t>
            </w:r>
          </w:p>
          <w:p>
            <w:pPr>
              <w:pStyle w:val="ListParagraph"/>
              <w:numPr>
                <w:ilvl w:val="0"/>
                <w:numId w:val="2"/>
              </w:numPr>
              <w:spacing w:after="60" w:line="280"/>
            </w:pPr>
            <w:r>
              <w:rPr>
                <w:sz w:val="20"/>
                <w:szCs w:val="20"/>
              </w:rPr>
              <w:t xml:space="preserve">NIST CAVP conformance harness run against both native and WASM builds, all six primitives</w:t>
            </w:r>
          </w:p>
          <w:p>
            <w:pPr>
              <w:pStyle w:val="ListParagraph"/>
              <w:numPr>
                <w:ilvl w:val="0"/>
                <w:numId w:val="2"/>
              </w:numPr>
              <w:spacing w:after="60" w:line="280"/>
            </w:pPr>
            <w:r>
              <w:rPr>
                <w:sz w:val="20"/>
                <w:szCs w:val="20"/>
              </w:rPr>
              <w:t xml:space="preserve">Benchmark harness: keygen/sign/verify latency, key and signature sizes, desktop + mid-range Android</w:t>
            </w:r>
          </w:p>
          <w:p>
            <w:pPr>
              <w:pStyle w:val="ListParagraph"/>
              <w:numPr>
                <w:ilvl w:val="0"/>
                <w:numId w:val="2"/>
              </w:numPr>
              <w:spacing w:after="60" w:line="280"/>
            </w:pPr>
            <w:r>
              <w:rPr>
                <w:sz w:val="20"/>
                <w:szCs w:val="20"/>
              </w:rPr>
              <w:t xml:space="preserve">Integrate the ETHFALCON Solidity verifier for the on-chain dispute path (RQ3 cost measurement)</w:t>
            </w:r>
          </w:p>
          <w:p>
            <w:pPr>
              <w:spacing w:after="40" w:before="140"/>
            </w:pPr>
            <w:r>
              <w:rPr>
                <w:b/>
                <w:bCs/>
                <w:caps/>
                <w:color w:val="6B7280"/>
                <w:sz w:val="18"/>
                <w:szCs w:val="18"/>
              </w:rPr>
              <w:t xml:space="preserve">Depends on</w:t>
            </w:r>
          </w:p>
          <w:p>
            <w:pPr>
              <w:spacing w:after="40"/>
            </w:pPr>
            <w:r>
              <w:rPr>
                <w:i/>
                <w:iCs/>
                <w:color w:val="333333"/>
                <w:sz w:val="20"/>
                <w:szCs w:val="20"/>
              </w:rPr>
              <w:t xml:space="preserve">M0 (monorepo, CI). Nothing else — this is the highest technical risk in the project and should be de-risked before anything is built on top of it.</w:t>
            </w:r>
          </w:p>
          <w:p>
            <w:pPr>
              <w:spacing w:after="40" w:before="140"/>
            </w:pPr>
            <w:r>
              <w:rPr>
                <w:b/>
                <w:bCs/>
                <w:caps/>
                <w:color w:val="1E7A46"/>
                <w:sz w:val="18"/>
                <w:szCs w:val="18"/>
              </w:rPr>
              <w:t xml:space="preserve">Done when</w:t>
            </w:r>
          </w:p>
          <w:p>
            <w:pPr>
              <w:spacing w:after="20"/>
            </w:pPr>
            <w:r>
              <w:rPr>
                <w:color w:val="1A1A1A"/>
                <w:sz w:val="20"/>
                <w:szCs w:val="20"/>
              </w:rPr>
              <w:t xml:space="preserve">All CAVP vectors pass in both native and WASM builds; gas report for the Falcon dispute-path verifier is published.</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395" w:sz="4"/>
              <w:left w:val="single" w:color="2E5395" w:sz="4"/>
              <w:bottom w:val="single" w:color="2E5395" w:sz="2"/>
              <w:right w:val="single" w:color="2E5395" w:sz="4"/>
            </w:tcBorders>
            <w:shd w:fill="DCE6F1" w:val="clear"/>
            <w:tcMar>
              <w:top w:type="dxa" w:w="100"/>
              <w:left w:type="dxa" w:w="140"/>
              <w:bottom w:type="dxa" w:w="100"/>
              <w:right w:type="dxa" w:w="140"/>
            </w:tcMar>
          </w:tcPr>
          <w:p>
            <w:r>
              <w:rPr>
                <w:b/>
                <w:bCs/>
                <w:color w:val="2E5395"/>
                <w:sz w:val="24"/>
                <w:szCs w:val="24"/>
              </w:rPr>
              <w:t xml:space="preserve">M2  </w:t>
            </w:r>
            <w:r>
              <w:rPr>
                <w:b/>
                <w:bCs/>
                <w:color w:val="1A1A1A"/>
                <w:sz w:val="24"/>
                <w:szCs w:val="24"/>
              </w:rPr>
              <w:t xml:space="preserve">PQ-PKI &amp; Envelope</w:t>
            </w:r>
          </w:p>
          <w:p>
            <w:pPr>
              <w:spacing w:before="40"/>
            </w:pPr>
            <w:r>
              <w:rPr>
                <w:b/>
                <w:bCs/>
                <w:color w:val="6B7280"/>
                <w:sz w:val="17"/>
                <w:szCs w:val="17"/>
              </w:rPr>
              <w:t xml:space="preserve">Phase: </w:t>
            </w:r>
            <w:r>
              <w:rPr>
                <w:color w:val="333333"/>
                <w:sz w:val="17"/>
                <w:szCs w:val="17"/>
              </w:rPr>
              <w:t xml:space="preserve">Foundation   </w:t>
            </w:r>
            <w:r>
              <w:rPr>
                <w:b/>
                <w:bCs/>
                <w:color w:val="6B7280"/>
                <w:sz w:val="17"/>
                <w:szCs w:val="17"/>
              </w:rPr>
              <w:t xml:space="preserve">Sprint: </w:t>
            </w:r>
            <w:r>
              <w:rPr>
                <w:color w:val="333333"/>
                <w:sz w:val="17"/>
                <w:szCs w:val="17"/>
              </w:rPr>
              <w:t xml:space="preserve">Sprint 2–3</w:t>
            </w:r>
          </w:p>
        </w:tc>
      </w:tr>
      <w:tr>
        <w:tc>
          <w:tcPr>
            <w:tcW w:type="dxa" w:w="10080"/>
            <w:tcBorders>
              <w:top w:val="none"/>
              <w:left w:val="single" w:color="2E5395" w:sz="4"/>
              <w:bottom w:val="single" w:color="2E5395" w:sz="4"/>
              <w:right w:val="single" w:color="2E5395"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PQKeyRegistry.sol: three-tier key hierarchy (Tier 0 SLH-DSA offline root, Tier 1 ML-DSA-65 service keys, Tier 2 Falcon-512 device keys)</w:t>
            </w:r>
          </w:p>
          <w:p>
            <w:pPr>
              <w:pStyle w:val="ListParagraph"/>
              <w:numPr>
                <w:ilvl w:val="0"/>
                <w:numId w:val="2"/>
              </w:numPr>
              <w:spacing w:after="60" w:line="280"/>
            </w:pPr>
            <w:r>
              <w:rPr>
                <w:sz w:val="20"/>
                <w:szCs w:val="20"/>
              </w:rPr>
              <w:t xml:space="preserve">Key lifecycle: registration with validity window, rotation (successor registered before predecessor retires), non-destructive revocation (validTo set, historical signatures stay verifiable)</w:t>
            </w:r>
          </w:p>
          <w:p>
            <w:pPr>
              <w:pStyle w:val="ListParagraph"/>
              <w:numPr>
                <w:ilvl w:val="0"/>
                <w:numId w:val="2"/>
              </w:numPr>
              <w:spacing w:after="60" w:line="280"/>
            </w:pPr>
            <w:r>
              <w:rPr>
                <w:sz w:val="20"/>
                <w:szCs w:val="20"/>
              </w:rPr>
              <w:t xml:space="preserve">Canonical PQEnvelope byte layout — TypeScript codec and Rust codec, proven byte-identical</w:t>
            </w:r>
          </w:p>
          <w:p>
            <w:pPr>
              <w:pStyle w:val="ListParagraph"/>
              <w:numPr>
                <w:ilvl w:val="0"/>
                <w:numId w:val="2"/>
              </w:numPr>
              <w:spacing w:after="60" w:line="280"/>
            </w:pPr>
            <w:r>
              <w:rPr>
                <w:sz w:val="20"/>
                <w:szCs w:val="20"/>
              </w:rPr>
              <w:t xml:space="preserve">Seven-condition verifier (algorithm allow-list, signer/key window, domain separator, clock window, nonce = stored+1, signature over zeroed-signature-field bytes, payload hash match)</w:t>
            </w:r>
          </w:p>
          <w:p>
            <w:pPr>
              <w:pStyle w:val="ListParagraph"/>
              <w:numPr>
                <w:ilvl w:val="0"/>
                <w:numId w:val="2"/>
              </w:numPr>
              <w:spacing w:after="60" w:line="280"/>
            </w:pPr>
            <w:r>
              <w:rPr>
                <w:sz w:val="20"/>
                <w:szCs w:val="20"/>
              </w:rPr>
              <w:t xml:space="preserve">PostgreSQL nonce store; stateless NestJS verification service holding no authority</w:t>
            </w:r>
          </w:p>
          <w:p>
            <w:pPr>
              <w:pStyle w:val="ListParagraph"/>
              <w:numPr>
                <w:ilvl w:val="0"/>
                <w:numId w:val="2"/>
              </w:numPr>
              <w:spacing w:after="60" w:line="280"/>
            </w:pPr>
            <w:r>
              <w:rPr>
                <w:sz w:val="20"/>
                <w:szCs w:val="20"/>
              </w:rPr>
              <w:t xml:space="preserve">Adversarial replay suite: nonce reuse, cross-domain confusion, expired intents, revoked keys — each asserts rejection at the named check</w:t>
            </w:r>
          </w:p>
          <w:p>
            <w:pPr>
              <w:spacing w:after="40" w:before="140"/>
            </w:pPr>
            <w:r>
              <w:rPr>
                <w:b/>
                <w:bCs/>
                <w:caps/>
                <w:color w:val="6B7280"/>
                <w:sz w:val="18"/>
                <w:szCs w:val="18"/>
              </w:rPr>
              <w:t xml:space="preserve">Depends on</w:t>
            </w:r>
          </w:p>
          <w:p>
            <w:pPr>
              <w:spacing w:after="40"/>
            </w:pPr>
            <w:r>
              <w:rPr>
                <w:i/>
                <w:iCs/>
                <w:color w:val="333333"/>
                <w:sz w:val="20"/>
                <w:szCs w:val="20"/>
              </w:rPr>
              <w:t xml:space="preserve">M1 (PQ primitives). Blocks nearly everything downstream — every user action and every attestation flows through this.</w:t>
            </w:r>
          </w:p>
          <w:p>
            <w:pPr>
              <w:spacing w:after="40" w:before="140"/>
            </w:pPr>
            <w:r>
              <w:rPr>
                <w:b/>
                <w:bCs/>
                <w:caps/>
                <w:color w:val="1E7A46"/>
                <w:sz w:val="18"/>
                <w:szCs w:val="18"/>
              </w:rPr>
              <w:t xml:space="preserve">Done when</w:t>
            </w:r>
          </w:p>
          <w:p>
            <w:pPr>
              <w:spacing w:after="20"/>
            </w:pPr>
            <w:r>
              <w:rPr>
                <w:color w:val="1A1A1A"/>
                <w:sz w:val="20"/>
                <w:szCs w:val="20"/>
              </w:rPr>
              <w:t xml:space="preserve">Rotation and revocation exercised end-to-end; replay suite rejects at the named check in every case.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395" w:sz="4"/>
              <w:left w:val="single" w:color="2E5395" w:sz="4"/>
              <w:bottom w:val="single" w:color="2E5395" w:sz="2"/>
              <w:right w:val="single" w:color="2E5395" w:sz="4"/>
            </w:tcBorders>
            <w:shd w:fill="DCE6F1" w:val="clear"/>
            <w:tcMar>
              <w:top w:type="dxa" w:w="100"/>
              <w:left w:type="dxa" w:w="140"/>
              <w:bottom w:type="dxa" w:w="100"/>
              <w:right w:type="dxa" w:w="140"/>
            </w:tcMar>
          </w:tcPr>
          <w:p>
            <w:r>
              <w:rPr>
                <w:b/>
                <w:bCs/>
                <w:color w:val="2E5395"/>
                <w:sz w:val="24"/>
                <w:szCs w:val="24"/>
              </w:rPr>
              <w:t xml:space="preserve">M3  </w:t>
            </w:r>
            <w:r>
              <w:rPr>
                <w:b/>
                <w:bCs/>
                <w:color w:val="1A1A1A"/>
                <w:sz w:val="24"/>
                <w:szCs w:val="24"/>
              </w:rPr>
              <w:t xml:space="preserve">Registry &amp; Compliance</w:t>
            </w:r>
          </w:p>
          <w:p>
            <w:pPr>
              <w:spacing w:before="40"/>
            </w:pPr>
            <w:r>
              <w:rPr>
                <w:b/>
                <w:bCs/>
                <w:color w:val="6B7280"/>
                <w:sz w:val="17"/>
                <w:szCs w:val="17"/>
              </w:rPr>
              <w:t xml:space="preserve">Phase: </w:t>
            </w:r>
            <w:r>
              <w:rPr>
                <w:color w:val="333333"/>
                <w:sz w:val="17"/>
                <w:szCs w:val="17"/>
              </w:rPr>
              <w:t xml:space="preserve">Foundation   </w:t>
            </w:r>
            <w:r>
              <w:rPr>
                <w:b/>
                <w:bCs/>
                <w:color w:val="6B7280"/>
                <w:sz w:val="17"/>
                <w:szCs w:val="17"/>
              </w:rPr>
              <w:t xml:space="preserve">Sprint: </w:t>
            </w:r>
            <w:r>
              <w:rPr>
                <w:color w:val="333333"/>
                <w:sz w:val="17"/>
                <w:szCs w:val="17"/>
              </w:rPr>
              <w:t xml:space="preserve">Sprint 3</w:t>
            </w:r>
          </w:p>
        </w:tc>
      </w:tr>
      <w:tr>
        <w:tc>
          <w:tcPr>
            <w:tcW w:type="dxa" w:w="10080"/>
            <w:tcBorders>
              <w:top w:val="none"/>
              <w:left w:val="single" w:color="2E5395" w:sz="4"/>
              <w:bottom w:val="single" w:color="2E5395" w:sz="4"/>
              <w:right w:val="single" w:color="2E5395"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AssetRegistry.sol: state machine UNREGISTERED → PENDING → LIVE → FROZEN</w:t>
            </w:r>
          </w:p>
          <w:p>
            <w:pPr>
              <w:pStyle w:val="ListParagraph"/>
              <w:numPr>
                <w:ilvl w:val="0"/>
                <w:numId w:val="2"/>
              </w:numPr>
              <w:spacing w:after="60" w:line="280"/>
            </w:pPr>
            <w:r>
              <w:rPr>
                <w:sz w:val="20"/>
                <w:szCs w:val="20"/>
              </w:rPr>
              <w:t xml:space="preserve">On-chain re-check of the four-clause admission predicate: signature valid AND sequence increasing AND reserve ≥ intended supply AND valuation fresh</w:t>
            </w:r>
          </w:p>
          <w:p>
            <w:pPr>
              <w:pStyle w:val="ListParagraph"/>
              <w:numPr>
                <w:ilvl w:val="0"/>
                <w:numId w:val="2"/>
              </w:numPr>
              <w:spacing w:after="60" w:line="280"/>
            </w:pPr>
            <w:r>
              <w:rPr>
                <w:sz w:val="20"/>
                <w:szCs w:val="20"/>
              </w:rPr>
              <w:t xml:space="preserve">attestedSupply ≤ reserveAmount invariant enforced on every mint and re-checked on every attestation</w:t>
            </w:r>
          </w:p>
          <w:p>
            <w:pPr>
              <w:pStyle w:val="ListParagraph"/>
              <w:numPr>
                <w:ilvl w:val="0"/>
                <w:numId w:val="2"/>
              </w:numPr>
              <w:spacing w:after="60" w:line="280"/>
            </w:pPr>
            <w:r>
              <w:rPr>
                <w:sz w:val="20"/>
                <w:szCs w:val="20"/>
              </w:rPr>
              <w:t xml:space="preserve">ERC-3643 (T-REX) integration bound to AssetRegistry, so no token can exist for an asset that is not LIVE</w:t>
            </w:r>
          </w:p>
          <w:p>
            <w:pPr>
              <w:pStyle w:val="ListParagraph"/>
              <w:numPr>
                <w:ilvl w:val="0"/>
                <w:numId w:val="2"/>
              </w:numPr>
              <w:spacing w:after="60" w:line="280"/>
            </w:pPr>
            <w:r>
              <w:rPr>
                <w:sz w:val="20"/>
                <w:szCs w:val="20"/>
              </w:rPr>
              <w:t xml:space="preserve">ONCHAINID identity claims and IdentityRegistry-gated transfers (enforced inside the token, not the app)</w:t>
            </w:r>
          </w:p>
          <w:p>
            <w:pPr>
              <w:pStyle w:val="ListParagraph"/>
              <w:numPr>
                <w:ilvl w:val="0"/>
                <w:numId w:val="2"/>
              </w:numPr>
              <w:spacing w:after="60" w:line="280"/>
            </w:pPr>
            <w:r>
              <w:rPr>
                <w:sz w:val="20"/>
                <w:szCs w:val="20"/>
              </w:rPr>
              <w:t xml:space="preserve">Provider console (minimal): submit metadata, valuation basis, custodian, trigger attestation flow</w:t>
            </w:r>
          </w:p>
          <w:p>
            <w:pPr>
              <w:spacing w:after="40" w:before="140"/>
            </w:pPr>
            <w:r>
              <w:rPr>
                <w:b/>
                <w:bCs/>
                <w:caps/>
                <w:color w:val="6B7280"/>
                <w:sz w:val="18"/>
                <w:szCs w:val="18"/>
              </w:rPr>
              <w:t xml:space="preserve">Depends on</w:t>
            </w:r>
          </w:p>
          <w:p>
            <w:pPr>
              <w:spacing w:after="40"/>
            </w:pPr>
            <w:r>
              <w:rPr>
                <w:i/>
                <w:iCs/>
                <w:color w:val="333333"/>
                <w:sz w:val="20"/>
                <w:szCs w:val="20"/>
              </w:rPr>
              <w:t xml:space="preserve">M2 (custodian attestations are ML-DSA-65-signed envelopes verified through the PQ-PKI).</w:t>
            </w:r>
          </w:p>
          <w:p>
            <w:pPr>
              <w:spacing w:after="40" w:before="140"/>
            </w:pPr>
            <w:r>
              <w:rPr>
                <w:b/>
                <w:bCs/>
                <w:caps/>
                <w:color w:val="1E7A46"/>
                <w:sz w:val="18"/>
                <w:szCs w:val="18"/>
              </w:rPr>
              <w:t xml:space="preserve">Done when</w:t>
            </w:r>
          </w:p>
          <w:p>
            <w:pPr>
              <w:spacing w:after="20"/>
            </w:pPr>
            <w:r>
              <w:rPr>
                <w:color w:val="1A1A1A"/>
                <w:sz w:val="20"/>
                <w:szCs w:val="20"/>
              </w:rPr>
              <w:t xml:space="preserve">A provider onboards a gold lot unaided; an API-bypassing direct-contract transfer is refused.</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395" w:sz="4"/>
              <w:left w:val="single" w:color="2E5395" w:sz="4"/>
              <w:bottom w:val="single" w:color="2E5395" w:sz="2"/>
              <w:right w:val="single" w:color="2E5395" w:sz="4"/>
            </w:tcBorders>
            <w:shd w:fill="DCE6F1" w:val="clear"/>
            <w:tcMar>
              <w:top w:type="dxa" w:w="100"/>
              <w:left w:type="dxa" w:w="140"/>
              <w:bottom w:type="dxa" w:w="100"/>
              <w:right w:type="dxa" w:w="140"/>
            </w:tcMar>
          </w:tcPr>
          <w:p>
            <w:r>
              <w:rPr>
                <w:b/>
                <w:bCs/>
                <w:color w:val="2E5395"/>
                <w:sz w:val="24"/>
                <w:szCs w:val="24"/>
              </w:rPr>
              <w:t xml:space="preserve">M4  </w:t>
            </w:r>
            <w:r>
              <w:rPr>
                <w:b/>
                <w:bCs/>
                <w:color w:val="1A1A1A"/>
                <w:sz w:val="24"/>
                <w:szCs w:val="24"/>
              </w:rPr>
              <w:t xml:space="preserve">Vault Accounting</w:t>
            </w:r>
          </w:p>
          <w:p>
            <w:pPr>
              <w:spacing w:before="40"/>
            </w:pPr>
            <w:r>
              <w:rPr>
                <w:b/>
                <w:bCs/>
                <w:color w:val="6B7280"/>
                <w:sz w:val="17"/>
                <w:szCs w:val="17"/>
              </w:rPr>
              <w:t xml:space="preserve">Phase: </w:t>
            </w:r>
            <w:r>
              <w:rPr>
                <w:color w:val="333333"/>
                <w:sz w:val="17"/>
                <w:szCs w:val="17"/>
              </w:rPr>
              <w:t xml:space="preserve">Foundation   </w:t>
            </w:r>
            <w:r>
              <w:rPr>
                <w:b/>
                <w:bCs/>
                <w:color w:val="6B7280"/>
                <w:sz w:val="17"/>
                <w:szCs w:val="17"/>
              </w:rPr>
              <w:t xml:space="preserve">Sprint: </w:t>
            </w:r>
            <w:r>
              <w:rPr>
                <w:color w:val="333333"/>
                <w:sz w:val="17"/>
                <w:szCs w:val="17"/>
              </w:rPr>
              <w:t xml:space="preserve">Sprint 3</w:t>
            </w:r>
          </w:p>
        </w:tc>
      </w:tr>
      <w:tr>
        <w:tc>
          <w:tcPr>
            <w:tcW w:type="dxa" w:w="10080"/>
            <w:tcBorders>
              <w:top w:val="none"/>
              <w:left w:val="single" w:color="2E5395" w:sz="4"/>
              <w:bottom w:val="single" w:color="2E5395" w:sz="4"/>
              <w:right w:val="single" w:color="2E5395"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AssetVault.sol: OpenZeppelin ERC-4626 subclass, _decimalsOffset() = 6 (virtual offset sigma = 10^6)</w:t>
            </w:r>
          </w:p>
          <w:p>
            <w:pPr>
              <w:pStyle w:val="ListParagraph"/>
              <w:numPr>
                <w:ilvl w:val="0"/>
                <w:numId w:val="2"/>
              </w:numPr>
              <w:spacing w:after="60" w:line="280"/>
            </w:pPr>
            <w:r>
              <w:rPr>
                <w:sz w:val="20"/>
                <w:szCs w:val="20"/>
              </w:rPr>
              <w:t xml:space="preserve">Explicit rounding overrides on all four conversion entry points — floor on deposit/mint-quote, ceiling on withdrawal-quote/redeem-cost, resolved against the initiating user and in favour of the pool</w:t>
            </w:r>
          </w:p>
          <w:p>
            <w:pPr>
              <w:pStyle w:val="ListParagraph"/>
              <w:numPr>
                <w:ilvl w:val="0"/>
                <w:numId w:val="2"/>
              </w:numPr>
              <w:spacing w:after="60" w:line="280"/>
            </w:pPr>
            <w:r>
              <w:rPr>
                <w:sz w:val="20"/>
                <w:szCs w:val="20"/>
              </w:rPr>
              <w:t xml:space="preserve">Inflation (donation) attack hardening per Model 1: a single-share-mint-then-donate attack now costs ~10^6 × the target deposit instead of 1×</w:t>
            </w:r>
          </w:p>
          <w:p>
            <w:pPr>
              <w:pStyle w:val="ListParagraph"/>
              <w:numPr>
                <w:ilvl w:val="0"/>
                <w:numId w:val="2"/>
              </w:numPr>
              <w:spacing w:after="60" w:line="280"/>
            </w:pPr>
            <w:r>
              <w:rPr>
                <w:sz w:val="20"/>
                <w:szCs w:val="20"/>
              </w:rPr>
              <w:t xml:space="preserve">Foundry property fuzzing: 10^6 randomised deposit–donate–deposit–withdraw–redeposit sequences</w:t>
            </w:r>
          </w:p>
          <w:p>
            <w:pPr>
              <w:pStyle w:val="ListParagraph"/>
              <w:numPr>
                <w:ilvl w:val="0"/>
                <w:numId w:val="2"/>
              </w:numPr>
              <w:spacing w:after="60" w:line="280"/>
            </w:pPr>
            <w:r>
              <w:rPr>
                <w:sz w:val="20"/>
                <w:szCs w:val="20"/>
              </w:rPr>
              <w:t xml:space="preserve">Halmos symbolic proof of share arithmetic (rounding bugs are exactly what random fuzzing misses)</w:t>
            </w:r>
          </w:p>
          <w:p>
            <w:pPr>
              <w:spacing w:after="40" w:before="140"/>
            </w:pPr>
            <w:r>
              <w:rPr>
                <w:b/>
                <w:bCs/>
                <w:caps/>
                <w:color w:val="6B7280"/>
                <w:sz w:val="18"/>
                <w:szCs w:val="18"/>
              </w:rPr>
              <w:t xml:space="preserve">Depends on</w:t>
            </w:r>
          </w:p>
          <w:p>
            <w:pPr>
              <w:spacing w:after="40"/>
            </w:pPr>
            <w:r>
              <w:rPr>
                <w:i/>
                <w:iCs/>
                <w:color w:val="333333"/>
                <w:sz w:val="20"/>
                <w:szCs w:val="20"/>
              </w:rPr>
              <w:t xml:space="preserve">M3 (vault holds ERC-3643 units of a LIVE asset). Can be built in parallel with M3 once M0/M1 exist.</w:t>
            </w:r>
          </w:p>
          <w:p>
            <w:pPr>
              <w:spacing w:after="40" w:before="140"/>
            </w:pPr>
            <w:r>
              <w:rPr>
                <w:b/>
                <w:bCs/>
                <w:caps/>
                <w:color w:val="1E7A46"/>
                <w:sz w:val="18"/>
                <w:szCs w:val="18"/>
              </w:rPr>
              <w:t xml:space="preserve">Done when</w:t>
            </w:r>
          </w:p>
          <w:p>
            <w:pPr>
              <w:spacing w:after="20"/>
            </w:pPr>
            <w:r>
              <w:rPr>
                <w:color w:val="1A1A1A"/>
                <w:sz w:val="20"/>
                <w:szCs w:val="20"/>
              </w:rPr>
              <w:t xml:space="preserve">10^6 fuzzed sequences show no inflation and no rounding-direction violation; Halmos proof passes.</w:t>
            </w:r>
          </w:p>
        </w:tc>
      </w:tr>
    </w:tbl>
    <w:p>
      <w:r>
        <w:br w:type="page"/>
      </w:r>
    </w:p>
    <w:p>
      <w:pPr>
        <w:pStyle w:val="Heading1"/>
        <w:pBdr>
          <w:bottom w:val="single" w:color="1F3864" w:sz="6" w:space="4"/>
        </w:pBdr>
        <w:spacing w:after="160" w:before="360"/>
      </w:pPr>
      <w:r>
        <w:rPr>
          <w:b/>
          <w:bCs/>
          <w:color w:val="1F3864"/>
          <w:sz w:val="30"/>
          <w:szCs w:val="30"/>
        </w:rPr>
        <w:t xml:space="preserve">Phase 2 — Investment Path</w:t>
      </w:r>
    </w:p>
    <w:p>
      <w:pPr>
        <w:spacing w:after="160"/>
      </w:pPr>
      <w:r>
        <w:rPr>
          <w:b/>
          <w:bCs/>
          <w:color w:val="6B7280"/>
          <w:sz w:val="18"/>
          <w:szCs w:val="18"/>
        </w:rPr>
        <w:t xml:space="preserve">Weeks: </w:t>
      </w:r>
      <w:r>
        <w:rPr>
          <w:color w:val="333333"/>
          <w:sz w:val="18"/>
          <w:szCs w:val="18"/>
        </w:rPr>
        <w:t xml:space="preserve">7–11</w:t>
      </w:r>
      <w:r>
        <w:rPr>
          <w:sz w:val="18"/>
          <w:szCs w:val="18"/>
        </w:rPr>
        <w:t xml:space="preserve">    </w:t>
      </w:r>
      <w:r>
        <w:rPr>
          <w:b/>
          <w:bCs/>
          <w:color w:val="6B7280"/>
          <w:sz w:val="18"/>
          <w:szCs w:val="18"/>
        </w:rPr>
        <w:t xml:space="preserve">Sprints: </w:t>
      </w:r>
      <w:r>
        <w:rPr>
          <w:color w:val="333333"/>
          <w:sz w:val="18"/>
          <w:szCs w:val="18"/>
        </w:rPr>
        <w:t xml:space="preserve">4–6</w:t>
      </w:r>
      <w:r>
        <w:rPr>
          <w:sz w:val="18"/>
          <w:szCs w:val="18"/>
        </w:rPr>
        <w:t xml:space="preserve">    </w:t>
      </w:r>
      <w:r>
        <w:rPr>
          <w:b/>
          <w:bCs/>
          <w:color w:val="6B7280"/>
          <w:sz w:val="18"/>
          <w:szCs w:val="18"/>
        </w:rPr>
        <w:t xml:space="preserve">Gate: </w:t>
      </w:r>
      <w:r>
        <w:rPr>
          <w:color w:val="333333"/>
          <w:sz w:val="18"/>
          <w:szCs w:val="18"/>
        </w:rPr>
        <w:t xml:space="preserve">MS2 — Week 11 (FYP-I deliverable)</w:t>
      </w:r>
    </w:p>
    <w:p>
      <w:pPr>
        <w:spacing w:after="120" w:line="300"/>
      </w:pPr>
      <w:r>
        <w:rPr>
          <w:sz w:val="21"/>
          <w:szCs w:val="21"/>
        </w:rPr>
        <w:t xml:space="preserve">This phase completes the thin end-to-end slice promised by the module plan: register an asset, tokenise it, deposit into it, and prove the deposit happened — with a price behind it and a permanent, offline-checkable receipt. Nothing here touches lending; the point of this phase is to have a demoable system at week 11, not a complete one.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7A46" w:sz="4"/>
              <w:left w:val="single" w:color="1E7A46" w:sz="4"/>
              <w:bottom w:val="single" w:color="1E7A46" w:sz="2"/>
              <w:right w:val="single" w:color="1E7A46" w:sz="4"/>
            </w:tcBorders>
            <w:shd w:fill="E3F2E9" w:val="clear"/>
            <w:tcMar>
              <w:top w:type="dxa" w:w="100"/>
              <w:left w:type="dxa" w:w="140"/>
              <w:bottom w:type="dxa" w:w="100"/>
              <w:right w:type="dxa" w:w="140"/>
            </w:tcMar>
          </w:tcPr>
          <w:p>
            <w:r>
              <w:rPr>
                <w:b/>
                <w:bCs/>
                <w:color w:val="1E7A46"/>
                <w:sz w:val="24"/>
                <w:szCs w:val="24"/>
              </w:rPr>
              <w:t xml:space="preserve">M5  </w:t>
            </w:r>
            <w:r>
              <w:rPr>
                <w:b/>
                <w:bCs/>
                <w:color w:val="1A1A1A"/>
                <w:sz w:val="24"/>
                <w:szCs w:val="24"/>
              </w:rPr>
              <w:t xml:space="preserve">Oracle &amp; Proof-of-Reserve</w:t>
            </w:r>
          </w:p>
          <w:p>
            <w:pPr>
              <w:spacing w:before="40"/>
            </w:pPr>
            <w:r>
              <w:rPr>
                <w:b/>
                <w:bCs/>
                <w:color w:val="6B7280"/>
                <w:sz w:val="17"/>
                <w:szCs w:val="17"/>
              </w:rPr>
              <w:t xml:space="preserve">Phase: </w:t>
            </w:r>
            <w:r>
              <w:rPr>
                <w:color w:val="333333"/>
                <w:sz w:val="17"/>
                <w:szCs w:val="17"/>
              </w:rPr>
              <w:t xml:space="preserve">Investment Path   </w:t>
            </w:r>
            <w:r>
              <w:rPr>
                <w:b/>
                <w:bCs/>
                <w:color w:val="6B7280"/>
                <w:sz w:val="17"/>
                <w:szCs w:val="17"/>
              </w:rPr>
              <w:t xml:space="preserve">Sprint: </w:t>
            </w:r>
            <w:r>
              <w:rPr>
                <w:color w:val="333333"/>
                <w:sz w:val="17"/>
                <w:szCs w:val="17"/>
              </w:rPr>
              <w:t xml:space="preserve">Sprint 4–5</w:t>
            </w:r>
          </w:p>
        </w:tc>
      </w:tr>
      <w:tr>
        <w:tc>
          <w:tcPr>
            <w:tcW w:type="dxa" w:w="10080"/>
            <w:tcBorders>
              <w:top w:val="none"/>
              <w:left w:val="single" w:color="1E7A46" w:sz="4"/>
              <w:bottom w:val="single" w:color="1E7A46" w:sz="4"/>
              <w:right w:val="single" w:color="1E7A46"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Node 20 workers polling five independent price sources in parallel, 3-second timeout</w:t>
            </w:r>
          </w:p>
          <w:p>
            <w:pPr>
              <w:pStyle w:val="ListParagraph"/>
              <w:numPr>
                <w:ilvl w:val="0"/>
                <w:numId w:val="2"/>
              </w:numPr>
              <w:spacing w:after="60" w:line="280"/>
            </w:pPr>
            <w:r>
              <w:rPr>
                <w:sz w:val="20"/>
                <w:szCs w:val="20"/>
              </w:rPr>
              <w:t xml:space="preserve">Aggregation pipeline in strict order: drop invalid/stale → quorum ≥ 3 → median → deviation test against 30-min TWAP (δ = 10%) → monotonic roundId/timestamp</w:t>
            </w:r>
          </w:p>
          <w:p>
            <w:pPr>
              <w:pStyle w:val="ListParagraph"/>
              <w:numPr>
                <w:ilvl w:val="0"/>
                <w:numId w:val="2"/>
              </w:numPr>
              <w:spacing w:after="60" w:line="280"/>
            </w:pPr>
            <w:r>
              <w:rPr>
                <w:sz w:val="20"/>
                <w:szCs w:val="20"/>
              </w:rPr>
              <w:t xml:space="preserve">ML-DSA-44 signing of the accepted round; PriceOracle.sol re-verifies signer role and monotonicity on-chain</w:t>
            </w:r>
          </w:p>
          <w:p>
            <w:pPr>
              <w:pStyle w:val="ListParagraph"/>
              <w:numPr>
                <w:ilvl w:val="0"/>
                <w:numId w:val="2"/>
              </w:numPr>
              <w:spacing w:after="60" w:line="280"/>
            </w:pPr>
            <w:r>
              <w:rPr>
                <w:sz w:val="20"/>
                <w:szCs w:val="20"/>
              </w:rPr>
              <w:t xml:space="preserve">Explicit-refusal failure mode: no round committed on any check failure — never extrapolation</w:t>
            </w:r>
          </w:p>
          <w:p>
            <w:pPr>
              <w:pStyle w:val="ListParagraph"/>
              <w:numPr>
                <w:ilvl w:val="0"/>
                <w:numId w:val="2"/>
              </w:numPr>
              <w:spacing w:after="60" w:line="280"/>
            </w:pPr>
            <w:r>
              <w:rPr>
                <w:sz w:val="20"/>
                <w:szCs w:val="20"/>
              </w:rPr>
              <w:t xml:space="preserve">Heartbeat freshness gate per asset class (60s for gold; see Table 1 of the proposal) — stale price freezes new borrowing/locks, never blocks repayment or withdrawal</w:t>
            </w:r>
          </w:p>
          <w:p>
            <w:pPr>
              <w:pStyle w:val="ListParagraph"/>
              <w:numPr>
                <w:ilvl w:val="0"/>
                <w:numId w:val="2"/>
              </w:numPr>
              <w:spacing w:after="60" w:line="280"/>
            </w:pPr>
            <w:r>
              <w:rPr>
                <w:sz w:val="20"/>
                <w:szCs w:val="20"/>
              </w:rPr>
              <w:t xml:space="preserve">Custodian re-attestation flow reusing the M3 attestation predicate</w:t>
            </w:r>
          </w:p>
          <w:p>
            <w:pPr>
              <w:spacing w:after="40" w:before="140"/>
            </w:pPr>
            <w:r>
              <w:rPr>
                <w:b/>
                <w:bCs/>
                <w:caps/>
                <w:color w:val="6B7280"/>
                <w:sz w:val="18"/>
                <w:szCs w:val="18"/>
              </w:rPr>
              <w:t xml:space="preserve">Depends on</w:t>
            </w:r>
          </w:p>
          <w:p>
            <w:pPr>
              <w:spacing w:after="40"/>
            </w:pPr>
            <w:r>
              <w:rPr>
                <w:i/>
                <w:iCs/>
                <w:color w:val="333333"/>
                <w:sz w:val="20"/>
                <w:szCs w:val="20"/>
              </w:rPr>
              <w:t xml:space="preserve">M2 (signed envelopes), M3 (asset registry reads committed rounds).</w:t>
            </w:r>
          </w:p>
          <w:p>
            <w:pPr>
              <w:spacing w:after="40" w:before="140"/>
            </w:pPr>
            <w:r>
              <w:rPr>
                <w:b/>
                <w:bCs/>
                <w:caps/>
                <w:color w:val="1E7A46"/>
                <w:sz w:val="18"/>
                <w:szCs w:val="18"/>
              </w:rPr>
              <w:t xml:space="preserve">Done when</w:t>
            </w:r>
          </w:p>
          <w:p>
            <w:pPr>
              <w:spacing w:after="20"/>
            </w:pPr>
            <w:r>
              <w:rPr>
                <w:color w:val="1A1A1A"/>
                <w:sz w:val="20"/>
                <w:szCs w:val="20"/>
              </w:rPr>
              <w:t xml:space="preserve">An injected malicious source is flagged and the committed median is unmoved; Experiment C's four named checks each reject at the correct clause.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7A46" w:sz="4"/>
              <w:left w:val="single" w:color="1E7A46" w:sz="4"/>
              <w:bottom w:val="single" w:color="1E7A46" w:sz="2"/>
              <w:right w:val="single" w:color="1E7A46" w:sz="4"/>
            </w:tcBorders>
            <w:shd w:fill="E3F2E9" w:val="clear"/>
            <w:tcMar>
              <w:top w:type="dxa" w:w="100"/>
              <w:left w:type="dxa" w:w="140"/>
              <w:bottom w:type="dxa" w:w="100"/>
              <w:right w:type="dxa" w:w="140"/>
            </w:tcMar>
          </w:tcPr>
          <w:p>
            <w:r>
              <w:rPr>
                <w:b/>
                <w:bCs/>
                <w:color w:val="1E7A46"/>
                <w:sz w:val="24"/>
                <w:szCs w:val="24"/>
              </w:rPr>
              <w:t xml:space="preserve">M8  </w:t>
            </w:r>
            <w:r>
              <w:rPr>
                <w:b/>
                <w:bCs/>
                <w:color w:val="1A1A1A"/>
                <w:sz w:val="24"/>
                <w:szCs w:val="24"/>
              </w:rPr>
              <w:t xml:space="preserve">Settlement Rail (mock)</w:t>
            </w:r>
          </w:p>
          <w:p>
            <w:pPr>
              <w:spacing w:before="40"/>
            </w:pPr>
            <w:r>
              <w:rPr>
                <w:b/>
                <w:bCs/>
                <w:color w:val="6B7280"/>
                <w:sz w:val="17"/>
                <w:szCs w:val="17"/>
              </w:rPr>
              <w:t xml:space="preserve">Phase: </w:t>
            </w:r>
            <w:r>
              <w:rPr>
                <w:color w:val="333333"/>
                <w:sz w:val="17"/>
                <w:szCs w:val="17"/>
              </w:rPr>
              <w:t xml:space="preserve">Investment Path   </w:t>
            </w:r>
            <w:r>
              <w:rPr>
                <w:b/>
                <w:bCs/>
                <w:color w:val="6B7280"/>
                <w:sz w:val="17"/>
                <w:szCs w:val="17"/>
              </w:rPr>
              <w:t xml:space="preserve">Sprint: </w:t>
            </w:r>
            <w:r>
              <w:rPr>
                <w:color w:val="333333"/>
                <w:sz w:val="17"/>
                <w:szCs w:val="17"/>
              </w:rPr>
              <w:t xml:space="preserve">Sprint 4</w:t>
            </w:r>
          </w:p>
        </w:tc>
      </w:tr>
      <w:tr>
        <w:tc>
          <w:tcPr>
            <w:tcW w:type="dxa" w:w="10080"/>
            <w:tcBorders>
              <w:top w:val="none"/>
              <w:left w:val="single" w:color="1E7A46" w:sz="4"/>
              <w:bottom w:val="single" w:color="1E7A46" w:sz="4"/>
              <w:right w:val="single" w:color="1E7A46"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IFiatRail interface — the one seam separating simulated settlement from a future licensed provider</w:t>
            </w:r>
          </w:p>
          <w:p>
            <w:pPr>
              <w:pStyle w:val="ListParagraph"/>
              <w:numPr>
                <w:ilvl w:val="0"/>
                <w:numId w:val="2"/>
              </w:numPr>
              <w:spacing w:after="60" w:line="280"/>
            </w:pPr>
            <w:r>
              <w:rPr>
                <w:sz w:val="20"/>
                <w:szCs w:val="20"/>
              </w:rPr>
              <w:t xml:space="preserve">NestJS implementation: mock PKR → test-net USDC, double-entry ledger in PostgreSQL</w:t>
            </w:r>
          </w:p>
          <w:p>
            <w:pPr>
              <w:pStyle w:val="ListParagraph"/>
              <w:numPr>
                <w:ilvl w:val="0"/>
                <w:numId w:val="2"/>
              </w:numPr>
              <w:spacing w:after="60" w:line="280"/>
            </w:pPr>
            <w:r>
              <w:rPr>
                <w:sz w:val="20"/>
                <w:szCs w:val="20"/>
              </w:rPr>
              <w:t xml:space="preserve">Deterministic settlement delay and injectable failure modes (for Experiment D / risk-engine outage testing)</w:t>
            </w:r>
          </w:p>
          <w:p>
            <w:pPr>
              <w:pStyle w:val="ListParagraph"/>
              <w:numPr>
                <w:ilvl w:val="0"/>
                <w:numId w:val="2"/>
              </w:numPr>
              <w:spacing w:after="60" w:line="280"/>
            </w:pPr>
            <w:r>
              <w:rPr>
                <w:sz w:val="20"/>
                <w:szCs w:val="20"/>
              </w:rPr>
              <w:t xml:space="preserve">Reconciliation job ensuring the ledger never leaves a half-settled state</w:t>
            </w:r>
          </w:p>
          <w:p>
            <w:pPr>
              <w:spacing w:after="40" w:before="140"/>
            </w:pPr>
            <w:r>
              <w:rPr>
                <w:b/>
                <w:bCs/>
                <w:caps/>
                <w:color w:val="6B7280"/>
                <w:sz w:val="18"/>
                <w:szCs w:val="18"/>
              </w:rPr>
              <w:t xml:space="preserve">Depends on</w:t>
            </w:r>
          </w:p>
          <w:p>
            <w:pPr>
              <w:spacing w:after="40"/>
            </w:pPr>
            <w:r>
              <w:rPr>
                <w:i/>
                <w:iCs/>
                <w:color w:val="333333"/>
                <w:sz w:val="20"/>
                <w:szCs w:val="20"/>
              </w:rPr>
              <w:t xml:space="preserve">M4 (vault must exist to receive the credited USDC).</w:t>
            </w:r>
          </w:p>
          <w:p>
            <w:pPr>
              <w:spacing w:after="40" w:before="140"/>
            </w:pPr>
            <w:r>
              <w:rPr>
                <w:b/>
                <w:bCs/>
                <w:caps/>
                <w:color w:val="1E7A46"/>
                <w:sz w:val="18"/>
                <w:szCs w:val="18"/>
              </w:rPr>
              <w:t xml:space="preserve">Done when</w:t>
            </w:r>
          </w:p>
          <w:p>
            <w:pPr>
              <w:spacing w:after="20"/>
            </w:pPr>
            <w:r>
              <w:rPr>
                <w:color w:val="1A1A1A"/>
                <w:sz w:val="20"/>
                <w:szCs w:val="20"/>
              </w:rPr>
              <w:t xml:space="preserve">1,000 randomised orders leave the ledger balanced under injected failures.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7A46" w:sz="4"/>
              <w:left w:val="single" w:color="1E7A46" w:sz="4"/>
              <w:bottom w:val="single" w:color="1E7A46" w:sz="2"/>
              <w:right w:val="single" w:color="1E7A46" w:sz="4"/>
            </w:tcBorders>
            <w:shd w:fill="E3F2E9" w:val="clear"/>
            <w:tcMar>
              <w:top w:type="dxa" w:w="100"/>
              <w:left w:type="dxa" w:w="140"/>
              <w:bottom w:type="dxa" w:w="100"/>
              <w:right w:type="dxa" w:w="140"/>
            </w:tcMar>
          </w:tcPr>
          <w:p>
            <w:r>
              <w:rPr>
                <w:b/>
                <w:bCs/>
                <w:color w:val="1E7A46"/>
                <w:sz w:val="24"/>
                <w:szCs w:val="24"/>
              </w:rPr>
              <w:t xml:space="preserve">M9  </w:t>
            </w:r>
            <w:r>
              <w:rPr>
                <w:b/>
                <w:bCs/>
                <w:color w:val="1A1A1A"/>
                <w:sz w:val="24"/>
                <w:szCs w:val="24"/>
              </w:rPr>
              <w:t xml:space="preserve">Anchoring &amp; Audit</w:t>
            </w:r>
          </w:p>
          <w:p>
            <w:pPr>
              <w:spacing w:before="40"/>
            </w:pPr>
            <w:r>
              <w:rPr>
                <w:b/>
                <w:bCs/>
                <w:color w:val="6B7280"/>
                <w:sz w:val="17"/>
                <w:szCs w:val="17"/>
              </w:rPr>
              <w:t xml:space="preserve">Phase: </w:t>
            </w:r>
            <w:r>
              <w:rPr>
                <w:color w:val="333333"/>
                <w:sz w:val="17"/>
                <w:szCs w:val="17"/>
              </w:rPr>
              <w:t xml:space="preserve">Investment Path   </w:t>
            </w:r>
            <w:r>
              <w:rPr>
                <w:b/>
                <w:bCs/>
                <w:color w:val="6B7280"/>
                <w:sz w:val="17"/>
                <w:szCs w:val="17"/>
              </w:rPr>
              <w:t xml:space="preserve">Sprint: </w:t>
            </w:r>
            <w:r>
              <w:rPr>
                <w:color w:val="333333"/>
                <w:sz w:val="17"/>
                <w:szCs w:val="17"/>
              </w:rPr>
              <w:t xml:space="preserve">Sprint 4–5</w:t>
            </w:r>
          </w:p>
        </w:tc>
      </w:tr>
      <w:tr>
        <w:tc>
          <w:tcPr>
            <w:tcW w:type="dxa" w:w="10080"/>
            <w:tcBorders>
              <w:top w:val="none"/>
              <w:left w:val="single" w:color="1E7A46" w:sz="4"/>
              <w:bottom w:val="single" w:color="1E7A46" w:sz="4"/>
              <w:right w:val="single" w:color="1E7A46"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PQAnchor.sol — immutable, non-upgradeable; writes {root, leafCount, epoch} once per 60-second epoch</w:t>
            </w:r>
          </w:p>
          <w:p>
            <w:pPr>
              <w:pStyle w:val="ListParagraph"/>
              <w:numPr>
                <w:ilvl w:val="0"/>
                <w:numId w:val="2"/>
              </w:numPr>
              <w:spacing w:after="60" w:line="280"/>
            </w:pPr>
            <w:r>
              <w:rPr>
                <w:sz w:val="20"/>
                <w:szCs w:val="20"/>
              </w:rPr>
              <w:t xml:space="preserve">Redis-Streams batcher: appends verified envelope hashes as leaves in arrival order, builds one sorted-pair Keccak-256 tree per epoch (OpenZeppelin MerkleProof construction)</w:t>
            </w:r>
          </w:p>
          <w:p>
            <w:pPr>
              <w:pStyle w:val="ListParagraph"/>
              <w:numPr>
                <w:ilvl w:val="0"/>
                <w:numId w:val="2"/>
              </w:numPr>
              <w:spacing w:after="60" w:line="280"/>
            </w:pPr>
            <w:r>
              <w:rPr>
                <w:sz w:val="20"/>
                <w:szCs w:val="20"/>
              </w:rPr>
              <w:t xml:space="preserve">Proof service: serves {leaf, proof, epoch} to the client on request</w:t>
            </w:r>
          </w:p>
          <w:p>
            <w:pPr>
              <w:pStyle w:val="ListParagraph"/>
              <w:numPr>
                <w:ilvl w:val="0"/>
                <w:numId w:val="2"/>
              </w:numPr>
              <w:spacing w:after="60" w:line="280"/>
            </w:pPr>
            <w:r>
              <w:rPr>
                <w:sz w:val="20"/>
                <w:szCs w:val="20"/>
              </w:rPr>
              <w:t xml:space="preserve">Independent Rust CLI verifier — checkable on a machine that has never contacted the platform</w:t>
            </w:r>
          </w:p>
          <w:p>
            <w:pPr>
              <w:pStyle w:val="ListParagraph"/>
              <w:numPr>
                <w:ilvl w:val="0"/>
                <w:numId w:val="2"/>
              </w:numPr>
              <w:spacing w:after="60" w:line="280"/>
            </w:pPr>
            <w:r>
              <w:rPr>
                <w:sz w:val="20"/>
                <w:szCs w:val="20"/>
              </w:rPr>
              <w:t xml:space="preserve">Epoch-gap handling: if the batcher stalls, the next anchor carries the accumulated leaves and the epoch numbering makes the gap explicit</w:t>
            </w:r>
          </w:p>
          <w:p>
            <w:pPr>
              <w:spacing w:after="40" w:before="140"/>
            </w:pPr>
            <w:r>
              <w:rPr>
                <w:b/>
                <w:bCs/>
                <w:caps/>
                <w:color w:val="6B7280"/>
                <w:sz w:val="18"/>
                <w:szCs w:val="18"/>
              </w:rPr>
              <w:t xml:space="preserve">Depends on</w:t>
            </w:r>
          </w:p>
          <w:p>
            <w:pPr>
              <w:spacing w:after="40"/>
            </w:pPr>
            <w:r>
              <w:rPr>
                <w:i/>
                <w:iCs/>
                <w:color w:val="333333"/>
                <w:sz w:val="20"/>
                <w:szCs w:val="20"/>
              </w:rPr>
              <w:t xml:space="preserve">M2 (envelope hashes are the leaves).</w:t>
            </w:r>
          </w:p>
          <w:p>
            <w:pPr>
              <w:spacing w:after="40" w:before="140"/>
            </w:pPr>
            <w:r>
              <w:rPr>
                <w:b/>
                <w:bCs/>
                <w:caps/>
                <w:color w:val="1E7A46"/>
                <w:sz w:val="18"/>
                <w:szCs w:val="18"/>
              </w:rPr>
              <w:t xml:space="preserve">Done when</w:t>
            </w:r>
          </w:p>
          <w:p>
            <w:pPr>
              <w:spacing w:after="20"/>
            </w:pPr>
            <w:r>
              <w:rPr>
                <w:color w:val="1A1A1A"/>
                <w:sz w:val="20"/>
                <w:szCs w:val="20"/>
              </w:rPr>
              <w:t xml:space="preserve">An exported proof bundle verifies on a machine that never contacted the platform; epoch numbers strictly increase and no root is ever overwritten.</w:t>
            </w:r>
          </w:p>
        </w:tc>
      </w:tr>
    </w:tbl>
    <w:p>
      <w:pPr>
        <w:spacing w:after="160"/>
      </w:pPr>
    </w:p>
    <w:p>
      <w:pPr>
        <w:pStyle w:val="Heading3"/>
        <w:spacing w:after="100" w:before="200"/>
      </w:pPr>
      <w:r>
        <w:rPr>
          <w:b/>
          <w:bCs/>
          <w:color w:val="222222"/>
          <w:sz w:val="22"/>
          <w:szCs w:val="22"/>
        </w:rPr>
        <w:t xml:space="preserve">MS2 acceptance path (week 11)</w:t>
      </w:r>
    </w:p>
    <w:p>
      <w:pPr>
        <w:spacing w:after="120" w:line="300"/>
      </w:pPr>
      <w:r>
        <w:rPr>
          <w:sz w:val="21"/>
          <w:szCs w:val="21"/>
        </w:rPr>
        <w:t xml:space="preserve">A first-time investor completes: identity claim (ONCHAINID) → mock PKR deposit of PKR 5,000 → signed deposit intent in the browser (Falcon-512, WASM) → shares minted, rounded against the depositor → envelope hash anchored within 60 seconds → Merkle proof downloaded and verified offline against the chain alone. This is the demo for the FYP-I review.</w:t>
      </w:r>
    </w:p>
    <w:p>
      <w:r>
        <w:br w:type="page"/>
      </w:r>
    </w:p>
    <w:p>
      <w:pPr>
        <w:pStyle w:val="Heading1"/>
        <w:pBdr>
          <w:bottom w:val="single" w:color="1F3864" w:sz="6" w:space="4"/>
        </w:pBdr>
        <w:spacing w:after="160" w:before="360"/>
      </w:pPr>
      <w:r>
        <w:rPr>
          <w:b/>
          <w:bCs/>
          <w:color w:val="1F3864"/>
          <w:sz w:val="30"/>
          <w:szCs w:val="30"/>
        </w:rPr>
        <w:t xml:space="preserve">Phase 3 — Lending &amp; Risk Engine</w:t>
      </w:r>
    </w:p>
    <w:p>
      <w:pPr>
        <w:spacing w:after="160"/>
      </w:pPr>
      <w:r>
        <w:rPr>
          <w:b/>
          <w:bCs/>
          <w:color w:val="6B7280"/>
          <w:sz w:val="18"/>
          <w:szCs w:val="18"/>
        </w:rPr>
        <w:t xml:space="preserve">Weeks: </w:t>
      </w:r>
      <w:r>
        <w:rPr>
          <w:color w:val="333333"/>
          <w:sz w:val="18"/>
          <w:szCs w:val="18"/>
        </w:rPr>
        <w:t xml:space="preserve">12–19</w:t>
      </w:r>
      <w:r>
        <w:rPr>
          <w:sz w:val="18"/>
          <w:szCs w:val="18"/>
        </w:rPr>
        <w:t xml:space="preserve">    </w:t>
      </w:r>
      <w:r>
        <w:rPr>
          <w:b/>
          <w:bCs/>
          <w:color w:val="6B7280"/>
          <w:sz w:val="18"/>
          <w:szCs w:val="18"/>
        </w:rPr>
        <w:t xml:space="preserve">Sprints: </w:t>
      </w:r>
      <w:r>
        <w:rPr>
          <w:color w:val="333333"/>
          <w:sz w:val="18"/>
          <w:szCs w:val="18"/>
        </w:rPr>
        <w:t xml:space="preserve">7–10</w:t>
      </w:r>
      <w:r>
        <w:rPr>
          <w:sz w:val="18"/>
          <w:szCs w:val="18"/>
        </w:rPr>
        <w:t xml:space="preserve">    </w:t>
      </w:r>
      <w:r>
        <w:rPr>
          <w:b/>
          <w:bCs/>
          <w:color w:val="6B7280"/>
          <w:sz w:val="18"/>
          <w:szCs w:val="18"/>
        </w:rPr>
        <w:t xml:space="preserve">Gate: </w:t>
      </w:r>
      <w:r>
        <w:rPr>
          <w:color w:val="333333"/>
          <w:sz w:val="18"/>
          <w:szCs w:val="18"/>
        </w:rPr>
        <w:t xml:space="preserve">MS3 — Week 19</w:t>
      </w:r>
    </w:p>
    <w:p>
      <w:pPr>
        <w:spacing w:after="120" w:line="300"/>
      </w:pPr>
      <w:r>
        <w:rPr>
          <w:sz w:val="21"/>
          <w:szCs w:val="21"/>
        </w:rPr>
        <w:t xml:space="preserve">This phase turns a held share into borrowing power and builds the machinery that keeps that borrowing solvent at PKR-1,000 scale: the health-factor sweep, the interest index, the reserve buffer that absorbs shallow transient breaches, and the decaying-bonus liquidator. The client (M10) is built in parallel once contract interfaces stabilise, since three developers cannot safely share one contract surface without the interfaces being frozen first.</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2A2A" w:sz="4"/>
              <w:left w:val="single" w:color="B02A2A" w:sz="4"/>
              <w:bottom w:val="single" w:color="B02A2A" w:sz="2"/>
              <w:right w:val="single" w:color="B02A2A" w:sz="4"/>
            </w:tcBorders>
            <w:shd w:fill="FBE4E4" w:val="clear"/>
            <w:tcMar>
              <w:top w:type="dxa" w:w="100"/>
              <w:left w:type="dxa" w:w="140"/>
              <w:bottom w:type="dxa" w:w="100"/>
              <w:right w:type="dxa" w:w="140"/>
            </w:tcMar>
          </w:tcPr>
          <w:p>
            <w:r>
              <w:rPr>
                <w:b/>
                <w:bCs/>
                <w:color w:val="B02A2A"/>
                <w:sz w:val="24"/>
                <w:szCs w:val="24"/>
              </w:rPr>
              <w:t xml:space="preserve">M6  </w:t>
            </w:r>
            <w:r>
              <w:rPr>
                <w:b/>
                <w:bCs/>
                <w:color w:val="1A1A1A"/>
                <w:sz w:val="24"/>
                <w:szCs w:val="24"/>
              </w:rPr>
              <w:t xml:space="preserve">Risk Engine</w:t>
            </w:r>
          </w:p>
          <w:p>
            <w:pPr>
              <w:spacing w:before="40"/>
            </w:pPr>
            <w:r>
              <w:rPr>
                <w:b/>
                <w:bCs/>
                <w:color w:val="6B7280"/>
                <w:sz w:val="17"/>
                <w:szCs w:val="17"/>
              </w:rPr>
              <w:t xml:space="preserve">Phase: </w:t>
            </w:r>
            <w:r>
              <w:rPr>
                <w:color w:val="333333"/>
                <w:sz w:val="17"/>
                <w:szCs w:val="17"/>
              </w:rPr>
              <w:t xml:space="preserve">Lending &amp; Risk   </w:t>
            </w:r>
            <w:r>
              <w:rPr>
                <w:b/>
                <w:bCs/>
                <w:color w:val="6B7280"/>
                <w:sz w:val="17"/>
                <w:szCs w:val="17"/>
              </w:rPr>
              <w:t xml:space="preserve">Sprint: </w:t>
            </w:r>
            <w:r>
              <w:rPr>
                <w:color w:val="333333"/>
                <w:sz w:val="17"/>
                <w:szCs w:val="17"/>
              </w:rPr>
              <w:t xml:space="preserve">Sprint 7–8</w:t>
            </w:r>
          </w:p>
        </w:tc>
      </w:tr>
      <w:tr>
        <w:tc>
          <w:tcPr>
            <w:tcW w:type="dxa" w:w="10080"/>
            <w:tcBorders>
              <w:top w:val="none"/>
              <w:left w:val="single" w:color="B02A2A" w:sz="4"/>
              <w:bottom w:val="single" w:color="B02A2A" w:sz="4"/>
              <w:right w:val="single" w:color="B02A2A"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CollateralManager.getCollateralValue() and calculateHF() — pure function of (q, p, lambda, D)</w:t>
            </w:r>
          </w:p>
          <w:p>
            <w:pPr>
              <w:pStyle w:val="ListParagraph"/>
              <w:numPr>
                <w:ilvl w:val="0"/>
                <w:numId w:val="2"/>
              </w:numPr>
              <w:spacing w:after="60" w:line="280"/>
            </w:pPr>
            <w:r>
              <w:rPr>
                <w:sz w:val="20"/>
                <w:szCs w:val="20"/>
              </w:rPr>
              <w:t xml:space="preserve">TypeScript workers on Redis Streams consumer groups, re-computing HF on every accepted price tick, at-least-once delivery so a crashed worker's positions are replayed, not skipped</w:t>
            </w:r>
          </w:p>
          <w:p>
            <w:pPr>
              <w:pStyle w:val="ListParagraph"/>
              <w:numPr>
                <w:ilvl w:val="0"/>
                <w:numId w:val="2"/>
              </w:numPr>
              <w:spacing w:after="60" w:line="280"/>
            </w:pPr>
            <w:r>
              <w:rPr>
                <w:sz w:val="20"/>
                <w:szCs w:val="20"/>
              </w:rPr>
              <w:t xml:space="preserve">Notification pipeline (borrower alerts at HF &lt; 1.15) and liquidation-proposal emission — the engine proposes, the chain decides and re-derives independently</w:t>
            </w:r>
          </w:p>
          <w:p>
            <w:pPr>
              <w:pStyle w:val="ListParagraph"/>
              <w:numPr>
                <w:ilvl w:val="0"/>
                <w:numId w:val="2"/>
              </w:numPr>
              <w:spacing w:after="60" w:line="280"/>
            </w:pPr>
            <w:r>
              <w:rPr>
                <w:sz w:val="20"/>
                <w:szCs w:val="20"/>
              </w:rPr>
              <w:t xml:space="preserve">Load test harness: 10,000 open positions, one price tick per second (k6)</w:t>
            </w:r>
          </w:p>
          <w:p>
            <w:pPr>
              <w:spacing w:after="40" w:before="140"/>
            </w:pPr>
            <w:r>
              <w:rPr>
                <w:b/>
                <w:bCs/>
                <w:caps/>
                <w:color w:val="6B7280"/>
                <w:sz w:val="18"/>
                <w:szCs w:val="18"/>
              </w:rPr>
              <w:t xml:space="preserve">Depends on</w:t>
            </w:r>
          </w:p>
          <w:p>
            <w:pPr>
              <w:spacing w:after="40"/>
            </w:pPr>
            <w:r>
              <w:rPr>
                <w:i/>
                <w:iCs/>
                <w:color w:val="333333"/>
                <w:sz w:val="20"/>
                <w:szCs w:val="20"/>
              </w:rPr>
              <w:t xml:space="preserve">M5 (price rounds), M4 (locked share balances).</w:t>
            </w:r>
          </w:p>
          <w:p>
            <w:pPr>
              <w:spacing w:after="40" w:before="140"/>
            </w:pPr>
            <w:r>
              <w:rPr>
                <w:b/>
                <w:bCs/>
                <w:caps/>
                <w:color w:val="1E7A46"/>
                <w:sz w:val="18"/>
                <w:szCs w:val="18"/>
              </w:rPr>
              <w:t xml:space="preserve">Done when</w:t>
            </w:r>
          </w:p>
          <w:p>
            <w:pPr>
              <w:spacing w:after="20"/>
            </w:pPr>
            <w:r>
              <w:rPr>
                <w:color w:val="1A1A1A"/>
                <w:sz w:val="20"/>
                <w:szCs w:val="20"/>
              </w:rPr>
              <w:t xml:space="preserve">p95 risk-sweep latency &lt; 500 ms at 10,000 positions; a stopped engine delays liquidations but never causes an incorrect one.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2A2A" w:sz="4"/>
              <w:left w:val="single" w:color="B02A2A" w:sz="4"/>
              <w:bottom w:val="single" w:color="B02A2A" w:sz="2"/>
              <w:right w:val="single" w:color="B02A2A" w:sz="4"/>
            </w:tcBorders>
            <w:shd w:fill="FBE4E4" w:val="clear"/>
            <w:tcMar>
              <w:top w:type="dxa" w:w="100"/>
              <w:left w:type="dxa" w:w="140"/>
              <w:bottom w:type="dxa" w:w="100"/>
              <w:right w:type="dxa" w:w="140"/>
            </w:tcMar>
          </w:tcPr>
          <w:p>
            <w:r>
              <w:rPr>
                <w:b/>
                <w:bCs/>
                <w:color w:val="B02A2A"/>
                <w:sz w:val="24"/>
                <w:szCs w:val="24"/>
              </w:rPr>
              <w:t xml:space="preserve">M7  </w:t>
            </w:r>
            <w:r>
              <w:rPr>
                <w:b/>
                <w:bCs/>
                <w:color w:val="1A1A1A"/>
                <w:sz w:val="24"/>
                <w:szCs w:val="24"/>
              </w:rPr>
              <w:t xml:space="preserve">Lending &amp; Liquidation</w:t>
            </w:r>
          </w:p>
          <w:p>
            <w:pPr>
              <w:spacing w:before="40"/>
            </w:pPr>
            <w:r>
              <w:rPr>
                <w:b/>
                <w:bCs/>
                <w:color w:val="6B7280"/>
                <w:sz w:val="17"/>
                <w:szCs w:val="17"/>
              </w:rPr>
              <w:t xml:space="preserve">Phase: </w:t>
            </w:r>
            <w:r>
              <w:rPr>
                <w:color w:val="333333"/>
                <w:sz w:val="17"/>
                <w:szCs w:val="17"/>
              </w:rPr>
              <w:t xml:space="preserve">Lending &amp; Risk   </w:t>
            </w:r>
            <w:r>
              <w:rPr>
                <w:b/>
                <w:bCs/>
                <w:color w:val="6B7280"/>
                <w:sz w:val="17"/>
                <w:szCs w:val="17"/>
              </w:rPr>
              <w:t xml:space="preserve">Sprint: </w:t>
            </w:r>
            <w:r>
              <w:rPr>
                <w:color w:val="333333"/>
                <w:sz w:val="17"/>
                <w:szCs w:val="17"/>
              </w:rPr>
              <w:t xml:space="preserve">Sprint 8–10</w:t>
            </w:r>
          </w:p>
        </w:tc>
      </w:tr>
      <w:tr>
        <w:tc>
          <w:tcPr>
            <w:tcW w:type="dxa" w:w="10080"/>
            <w:tcBorders>
              <w:top w:val="none"/>
              <w:left w:val="single" w:color="B02A2A" w:sz="4"/>
              <w:bottom w:val="single" w:color="B02A2A" w:sz="4"/>
              <w:right w:val="single" w:color="B02A2A"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LendingPool.sol — global borrow index (Model 4): O(1) rate-change cost, O(1) per-user debt resolved at read time, two-slope utilisation curve with kink at U* = 80%</w:t>
            </w:r>
          </w:p>
          <w:p>
            <w:pPr>
              <w:pStyle w:val="ListParagraph"/>
              <w:numPr>
                <w:ilvl w:val="0"/>
                <w:numId w:val="2"/>
              </w:numPr>
              <w:spacing w:after="60" w:line="280"/>
            </w:pPr>
            <w:r>
              <w:rPr>
                <w:sz w:val="20"/>
                <w:szCs w:val="20"/>
              </w:rPr>
              <w:t xml:space="preserve">CollateralManager.sol — BorrowCapacity and HF per Model 3; post-borrow HF ≥ 1.15 enforced as a hard invariant</w:t>
            </w:r>
          </w:p>
          <w:p>
            <w:pPr>
              <w:pStyle w:val="ListParagraph"/>
              <w:numPr>
                <w:ilvl w:val="0"/>
                <w:numId w:val="2"/>
              </w:numPr>
              <w:spacing w:after="60" w:line="280"/>
            </w:pPr>
            <w:r>
              <w:rPr>
                <w:sz w:val="20"/>
                <w:szCs w:val="20"/>
              </w:rPr>
              <w:t xml:space="preserve">ReserveBuffer.sol — Model 5: claims opened in the 0.95 ≤ HF &lt; 1.00 band, per-epoch absorption cap κ = 0.40 × B, non-destructive claim release on recovery, degrades cleanly to baseline liquidation when the cap or buffer is exhausted</w:t>
            </w:r>
          </w:p>
          <w:p>
            <w:pPr>
              <w:pStyle w:val="ListParagraph"/>
              <w:numPr>
                <w:ilvl w:val="0"/>
                <w:numId w:val="2"/>
              </w:numPr>
              <w:spacing w:after="60" w:line="280"/>
            </w:pPr>
            <w:r>
              <w:rPr>
                <w:sz w:val="20"/>
                <w:szCs w:val="20"/>
              </w:rPr>
              <w:t xml:space="preserve">Liquidator.sol — Model 6: close factor φ = 0.50, bonus decaying linearly from β_max to β_min over 20 blocks, price sourced only from the last committed oracle round</w:t>
            </w:r>
          </w:p>
          <w:p>
            <w:pPr>
              <w:pStyle w:val="ListParagraph"/>
              <w:numPr>
                <w:ilvl w:val="0"/>
                <w:numId w:val="2"/>
              </w:numPr>
              <w:spacing w:after="60" w:line="280"/>
            </w:pPr>
            <w:r>
              <w:rPr>
                <w:sz w:val="20"/>
                <w:szCs w:val="20"/>
              </w:rPr>
              <w:t xml:space="preserve">Per-asset-class parameter table (θ, λ, β_max, heartbeat) for gold (mandatory) plus T-bill / Sukuk / REIT (stretch)</w:t>
            </w:r>
          </w:p>
          <w:p>
            <w:pPr>
              <w:pStyle w:val="ListParagraph"/>
              <w:numPr>
                <w:ilvl w:val="0"/>
                <w:numId w:val="2"/>
              </w:numPr>
              <w:spacing w:after="60" w:line="280"/>
            </w:pPr>
            <w:r>
              <w:rPr>
                <w:sz w:val="20"/>
                <w:szCs w:val="20"/>
              </w:rPr>
              <w:t xml:space="preserve">Echidna + Foundry invariant suite: no borrow/unlock leaves post-state HF &lt; 1.15; locked shares never exceed held shares; every liquidation strictly increases HF; no position holds two simultaneous buffer claims</w:t>
            </w:r>
          </w:p>
          <w:p>
            <w:pPr>
              <w:spacing w:after="40" w:before="140"/>
            </w:pPr>
            <w:r>
              <w:rPr>
                <w:b/>
                <w:bCs/>
                <w:caps/>
                <w:color w:val="6B7280"/>
                <w:sz w:val="18"/>
                <w:szCs w:val="18"/>
              </w:rPr>
              <w:t xml:space="preserve">Depends on</w:t>
            </w:r>
          </w:p>
          <w:p>
            <w:pPr>
              <w:spacing w:after="40"/>
            </w:pPr>
            <w:r>
              <w:rPr>
                <w:i/>
                <w:iCs/>
                <w:color w:val="333333"/>
                <w:sz w:val="20"/>
                <w:szCs w:val="20"/>
              </w:rPr>
              <w:t xml:space="preserve">M6 (risk engine proposals), M5 (committed prices), M4 (collateral shares).</w:t>
            </w:r>
          </w:p>
          <w:p>
            <w:pPr>
              <w:spacing w:after="40" w:before="140"/>
            </w:pPr>
            <w:r>
              <w:rPr>
                <w:b/>
                <w:bCs/>
                <w:caps/>
                <w:color w:val="1E7A46"/>
                <w:sz w:val="18"/>
                <w:szCs w:val="18"/>
              </w:rPr>
              <w:t xml:space="preserve">Done when</w:t>
            </w:r>
          </w:p>
          <w:p>
            <w:pPr>
              <w:spacing w:after="20"/>
            </w:pPr>
            <w:r>
              <w:rPr>
                <w:color w:val="1A1A1A"/>
                <w:sz w:val="20"/>
                <w:szCs w:val="20"/>
              </w:rPr>
              <w:t xml:space="preserve">10,000-path Monte Carlo at 3σ produces zero bad debt; the buffer measurably reduces liquidations from transient shocks without masking sustained undercollateralisation (Experiment B).</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2A2A" w:sz="4"/>
              <w:left w:val="single" w:color="B02A2A" w:sz="4"/>
              <w:bottom w:val="single" w:color="B02A2A" w:sz="2"/>
              <w:right w:val="single" w:color="B02A2A" w:sz="4"/>
            </w:tcBorders>
            <w:shd w:fill="FBE4E4" w:val="clear"/>
            <w:tcMar>
              <w:top w:type="dxa" w:w="100"/>
              <w:left w:type="dxa" w:w="140"/>
              <w:bottom w:type="dxa" w:w="100"/>
              <w:right w:type="dxa" w:w="140"/>
            </w:tcMar>
          </w:tcPr>
          <w:p>
            <w:r>
              <w:rPr>
                <w:b/>
                <w:bCs/>
                <w:color w:val="B02A2A"/>
                <w:sz w:val="24"/>
                <w:szCs w:val="24"/>
              </w:rPr>
              <w:t xml:space="preserve">M10  </w:t>
            </w:r>
            <w:r>
              <w:rPr>
                <w:b/>
                <w:bCs/>
                <w:color w:val="1A1A1A"/>
                <w:sz w:val="24"/>
                <w:szCs w:val="24"/>
              </w:rPr>
              <w:t xml:space="preserve">Clients</w:t>
            </w:r>
          </w:p>
          <w:p>
            <w:pPr>
              <w:spacing w:before="40"/>
            </w:pPr>
            <w:r>
              <w:rPr>
                <w:b/>
                <w:bCs/>
                <w:color w:val="6B7280"/>
                <w:sz w:val="17"/>
                <w:szCs w:val="17"/>
              </w:rPr>
              <w:t xml:space="preserve">Phase: </w:t>
            </w:r>
            <w:r>
              <w:rPr>
                <w:color w:val="333333"/>
                <w:sz w:val="17"/>
                <w:szCs w:val="17"/>
              </w:rPr>
              <w:t xml:space="preserve">Lending &amp; Risk   </w:t>
            </w:r>
            <w:r>
              <w:rPr>
                <w:b/>
                <w:bCs/>
                <w:color w:val="6B7280"/>
                <w:sz w:val="17"/>
                <w:szCs w:val="17"/>
              </w:rPr>
              <w:t xml:space="preserve">Sprint: </w:t>
            </w:r>
            <w:r>
              <w:rPr>
                <w:color w:val="333333"/>
                <w:sz w:val="17"/>
                <w:szCs w:val="17"/>
              </w:rPr>
              <w:t xml:space="preserve">Sprint 7–10 (parallel)</w:t>
            </w:r>
          </w:p>
        </w:tc>
      </w:tr>
      <w:tr>
        <w:tc>
          <w:tcPr>
            <w:tcW w:type="dxa" w:w="10080"/>
            <w:tcBorders>
              <w:top w:val="none"/>
              <w:left w:val="single" w:color="B02A2A" w:sz="4"/>
              <w:bottom w:val="single" w:color="B02A2A" w:sz="4"/>
              <w:right w:val="single" w:color="B02A2A"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React 18 PWA, TypeScript, viem, TanStack Query — investor client</w:t>
            </w:r>
          </w:p>
          <w:p>
            <w:pPr>
              <w:pStyle w:val="ListParagraph"/>
              <w:numPr>
                <w:ilvl w:val="0"/>
                <w:numId w:val="2"/>
              </w:numPr>
              <w:spacing w:after="60" w:line="280"/>
            </w:pPr>
            <w:r>
              <w:rPr>
                <w:sz w:val="20"/>
                <w:szCs w:val="20"/>
              </w:rPr>
              <w:t xml:space="preserve">WASM Falcon signer wired into the deposit/borrow/repay flows; key generated and held in IndexedDB, never transmitted</w:t>
            </w:r>
          </w:p>
          <w:p>
            <w:pPr>
              <w:pStyle w:val="ListParagraph"/>
              <w:numPr>
                <w:ilvl w:val="0"/>
                <w:numId w:val="2"/>
              </w:numPr>
              <w:spacing w:after="60" w:line="280"/>
            </w:pPr>
            <w:r>
              <w:rPr>
                <w:sz w:val="20"/>
                <w:szCs w:val="20"/>
              </w:rPr>
              <w:t xml:space="preserve">Provider console (asset onboarding, attestation submission) and operations console (risk/liquidation monitoring)</w:t>
            </w:r>
          </w:p>
          <w:p>
            <w:pPr>
              <w:pStyle w:val="ListParagraph"/>
              <w:numPr>
                <w:ilvl w:val="0"/>
                <w:numId w:val="2"/>
              </w:numPr>
              <w:spacing w:after="60" w:line="280"/>
            </w:pPr>
            <w:r>
              <w:rPr>
                <w:sz w:val="20"/>
                <w:szCs w:val="20"/>
              </w:rPr>
              <w:t xml:space="preserve">ABI-typed contract bindings so a contract change is a compile error, not a runtime failure</w:t>
            </w:r>
          </w:p>
          <w:p>
            <w:pPr>
              <w:spacing w:after="40" w:before="140"/>
            </w:pPr>
            <w:r>
              <w:rPr>
                <w:b/>
                <w:bCs/>
                <w:caps/>
                <w:color w:val="6B7280"/>
                <w:sz w:val="18"/>
                <w:szCs w:val="18"/>
              </w:rPr>
              <w:t xml:space="preserve">Depends on</w:t>
            </w:r>
          </w:p>
          <w:p>
            <w:pPr>
              <w:spacing w:after="40"/>
            </w:pPr>
            <w:r>
              <w:rPr>
                <w:i/>
                <w:iCs/>
                <w:color w:val="333333"/>
                <w:sz w:val="20"/>
                <w:szCs w:val="20"/>
              </w:rPr>
              <w:t xml:space="preserve">M3, M4, M7 interfaces frozen (each module opens with an interface-only PR approved by its consumers before implementation begins).</w:t>
            </w:r>
          </w:p>
          <w:p>
            <w:pPr>
              <w:spacing w:after="40" w:before="140"/>
            </w:pPr>
            <w:r>
              <w:rPr>
                <w:b/>
                <w:bCs/>
                <w:caps/>
                <w:color w:val="1E7A46"/>
                <w:sz w:val="18"/>
                <w:szCs w:val="18"/>
              </w:rPr>
              <w:t xml:space="preserve">Done when</w:t>
            </w:r>
          </w:p>
          <w:p>
            <w:pPr>
              <w:spacing w:after="20"/>
            </w:pPr>
            <w:r>
              <w:rPr>
                <w:color w:val="1A1A1A"/>
                <w:sz w:val="20"/>
                <w:szCs w:val="20"/>
              </w:rPr>
              <w:t xml:space="preserve">A non-technical tester completes the full investor journey — deposit through liquidation visibility — unaided.</w:t>
            </w:r>
          </w:p>
        </w:tc>
      </w:tr>
    </w:tbl>
    <w:p>
      <w:pPr>
        <w:spacing w:after="160"/>
      </w:pPr>
    </w:p>
    <w:p>
      <w:pPr>
        <w:pStyle w:val="Heading3"/>
        <w:spacing w:after="100" w:before="200"/>
      </w:pPr>
      <w:r>
        <w:rPr>
          <w:b/>
          <w:bCs/>
          <w:color w:val="222222"/>
          <w:sz w:val="22"/>
          <w:szCs w:val="22"/>
        </w:rPr>
        <w:t xml:space="preserve">MS3 acceptance path (week 19)</w:t>
      </w:r>
    </w:p>
    <w:p>
      <w:pPr>
        <w:spacing w:after="120" w:line="300"/>
      </w:pPr>
      <w:r>
        <w:rPr>
          <w:sz w:val="21"/>
          <w:szCs w:val="21"/>
        </w:rPr>
        <w:t xml:space="preserve">Lock collateral → borrow → simulated price drop → position enters the reserve-buffer band → buffer absorbs or liquidation executes at a decaying bonus → post-liquidation HF strictly greater than pre-liquidation HF, with zero bad debt across the invariant suite. At least one liquidation the ECDSA/Aave-parameterised control build would have executed is demonstrably prevented by the buffer.</w:t>
      </w:r>
    </w:p>
    <w:p>
      <w:r>
        <w:br w:type="page"/>
      </w:r>
    </w:p>
    <w:p>
      <w:pPr>
        <w:pStyle w:val="Heading1"/>
        <w:pBdr>
          <w:bottom w:val="single" w:color="1F3864" w:sz="6" w:space="4"/>
        </w:pBdr>
        <w:spacing w:after="160" w:before="360"/>
      </w:pPr>
      <w:r>
        <w:rPr>
          <w:b/>
          <w:bCs/>
          <w:color w:val="1F3864"/>
          <w:sz w:val="30"/>
          <w:szCs w:val="30"/>
        </w:rPr>
        <w:t xml:space="preserve">Phase 4 — Evaluation &amp; Thesis</w:t>
      </w:r>
    </w:p>
    <w:p>
      <w:pPr>
        <w:spacing w:after="160"/>
      </w:pPr>
      <w:r>
        <w:rPr>
          <w:b/>
          <w:bCs/>
          <w:color w:val="6B7280"/>
          <w:sz w:val="18"/>
          <w:szCs w:val="18"/>
        </w:rPr>
        <w:t xml:space="preserve">Weeks: </w:t>
      </w:r>
      <w:r>
        <w:rPr>
          <w:color w:val="333333"/>
          <w:sz w:val="18"/>
          <w:szCs w:val="18"/>
        </w:rPr>
        <w:t xml:space="preserve">20–24</w:t>
      </w:r>
      <w:r>
        <w:rPr>
          <w:sz w:val="18"/>
          <w:szCs w:val="18"/>
        </w:rPr>
        <w:t xml:space="preserve">    </w:t>
      </w:r>
      <w:r>
        <w:rPr>
          <w:b/>
          <w:bCs/>
          <w:color w:val="6B7280"/>
          <w:sz w:val="18"/>
          <w:szCs w:val="18"/>
        </w:rPr>
        <w:t xml:space="preserve">Sprints: </w:t>
      </w:r>
      <w:r>
        <w:rPr>
          <w:color w:val="333333"/>
          <w:sz w:val="18"/>
          <w:szCs w:val="18"/>
        </w:rPr>
        <w:t xml:space="preserve">11–13</w:t>
      </w:r>
      <w:r>
        <w:rPr>
          <w:sz w:val="18"/>
          <w:szCs w:val="18"/>
        </w:rPr>
        <w:t xml:space="preserve">    </w:t>
      </w:r>
      <w:r>
        <w:rPr>
          <w:b/>
          <w:bCs/>
          <w:color w:val="6B7280"/>
          <w:sz w:val="18"/>
          <w:szCs w:val="18"/>
        </w:rPr>
        <w:t xml:space="preserve">Gate: </w:t>
      </w:r>
      <w:r>
        <w:rPr>
          <w:color w:val="333333"/>
          <w:sz w:val="18"/>
          <w:szCs w:val="18"/>
        </w:rPr>
        <w:t xml:space="preserve">MS4 — Week 24</w:t>
      </w:r>
    </w:p>
    <w:p>
      <w:pPr>
        <w:spacing w:after="120" w:line="300"/>
      </w:pPr>
      <w:r>
        <w:rPr>
          <w:sz w:val="21"/>
          <w:szCs w:val="21"/>
        </w:rPr>
        <w:t xml:space="preserve">Every claim in the proposal is measured against an otherwise-identical ECDSA-only control build, selected by one compile flag. This phase produces the data, not new mechanisms — by week 20 the protocol is feature-complete and the remaining work is instrumentation, load generation, and writing up what was measured.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B7280" w:sz="4"/>
              <w:left w:val="single" w:color="6B7280" w:sz="4"/>
              <w:bottom w:val="single" w:color="6B7280" w:sz="2"/>
              <w:right w:val="single" w:color="6B7280" w:sz="4"/>
            </w:tcBorders>
            <w:shd w:fill="F3F4F6" w:val="clear"/>
            <w:tcMar>
              <w:top w:type="dxa" w:w="100"/>
              <w:left w:type="dxa" w:w="140"/>
              <w:bottom w:type="dxa" w:w="100"/>
              <w:right w:type="dxa" w:w="140"/>
            </w:tcMar>
          </w:tcPr>
          <w:p>
            <w:r>
              <w:rPr>
                <w:b/>
                <w:bCs/>
                <w:color w:val="6B7280"/>
                <w:sz w:val="24"/>
                <w:szCs w:val="24"/>
              </w:rPr>
              <w:t xml:space="preserve">M11  </w:t>
            </w:r>
            <w:r>
              <w:rPr>
                <w:b/>
                <w:bCs/>
                <w:color w:val="1A1A1A"/>
                <w:sz w:val="24"/>
                <w:szCs w:val="24"/>
              </w:rPr>
              <w:t xml:space="preserve">Evaluation Harness</w:t>
            </w:r>
          </w:p>
          <w:p>
            <w:pPr>
              <w:spacing w:before="40"/>
            </w:pPr>
            <w:r>
              <w:rPr>
                <w:b/>
                <w:bCs/>
                <w:color w:val="6B7280"/>
                <w:sz w:val="17"/>
                <w:szCs w:val="17"/>
              </w:rPr>
              <w:t xml:space="preserve">Phase: </w:t>
            </w:r>
            <w:r>
              <w:rPr>
                <w:color w:val="333333"/>
                <w:sz w:val="17"/>
                <w:szCs w:val="17"/>
              </w:rPr>
              <w:t xml:space="preserve">Evaluation   </w:t>
            </w:r>
            <w:r>
              <w:rPr>
                <w:b/>
                <w:bCs/>
                <w:color w:val="6B7280"/>
                <w:sz w:val="17"/>
                <w:szCs w:val="17"/>
              </w:rPr>
              <w:t xml:space="preserve">Sprint: </w:t>
            </w:r>
            <w:r>
              <w:rPr>
                <w:color w:val="333333"/>
                <w:sz w:val="17"/>
                <w:szCs w:val="17"/>
              </w:rPr>
              <w:t xml:space="preserve">Sprint 11–13</w:t>
            </w:r>
          </w:p>
        </w:tc>
      </w:tr>
      <w:tr>
        <w:tc>
          <w:tcPr>
            <w:tcW w:type="dxa" w:w="10080"/>
            <w:tcBorders>
              <w:top w:val="none"/>
              <w:left w:val="single" w:color="6B7280" w:sz="4"/>
              <w:bottom w:val="single" w:color="6B7280" w:sz="4"/>
              <w:right w:val="single" w:color="6B7280" w:sz="4"/>
            </w:tcBorders>
            <w:tcMar>
              <w:top w:type="dxa" w:w="60"/>
              <w:left w:type="dxa" w:w="140"/>
              <w:bottom w:type="dxa" w:w="120"/>
              <w:right w:type="dxa" w:w="140"/>
            </w:tcMar>
          </w:tcPr>
          <w:p>
            <w:pPr>
              <w:spacing w:after="40" w:before="100"/>
            </w:pPr>
            <w:r>
              <w:rPr>
                <w:b/>
                <w:bCs/>
                <w:caps/>
                <w:color w:val="6B7280"/>
                <w:sz w:val="18"/>
                <w:szCs w:val="18"/>
              </w:rPr>
              <w:t xml:space="preserve">Owns / builds</w:t>
            </w:r>
          </w:p>
          <w:p>
            <w:pPr>
              <w:pStyle w:val="ListParagraph"/>
              <w:numPr>
                <w:ilvl w:val="0"/>
                <w:numId w:val="2"/>
              </w:numPr>
              <w:spacing w:after="60" w:line="280"/>
            </w:pPr>
            <w:r>
              <w:rPr>
                <w:sz w:val="20"/>
                <w:szCs w:val="20"/>
              </w:rPr>
              <w:t xml:space="preserve">ECDSA-only control build behind the AUTH_MODE compile flag (see .env.example) — differs from the PQ build in exactly one dimension</w:t>
            </w:r>
          </w:p>
          <w:p>
            <w:pPr>
              <w:pStyle w:val="ListParagraph"/>
              <w:numPr>
                <w:ilvl w:val="0"/>
                <w:numId w:val="2"/>
              </w:numPr>
              <w:spacing w:after="60" w:line="280"/>
            </w:pPr>
            <w:r>
              <w:rPr>
                <w:sz w:val="20"/>
                <w:szCs w:val="20"/>
              </w:rPr>
              <w:t xml:space="preserve">Foundry gas snapshots: per-contract gas for all eleven contracts, in both builds; anchoring amortisation curve from n = 1 to n = 4,096 events/epoch; empirical break-even n* against ecrecover (Model 8 predicts n* ≈ 14)</w:t>
            </w:r>
          </w:p>
          <w:p>
            <w:pPr>
              <w:pStyle w:val="ListParagraph"/>
              <w:numPr>
                <w:ilvl w:val="0"/>
                <w:numId w:val="2"/>
              </w:numPr>
              <w:spacing w:after="60" w:line="280"/>
            </w:pPr>
            <w:r>
              <w:rPr>
                <w:sz w:val="20"/>
                <w:szCs w:val="20"/>
              </w:rPr>
              <w:t xml:space="preserve">RQ2 latency harness: k6 against testnet, p50/p95 per flow step at 1, 10, 100 concurrent users</w:t>
            </w:r>
          </w:p>
          <w:p>
            <w:pPr>
              <w:pStyle w:val="ListParagraph"/>
              <w:numPr>
                <w:ilvl w:val="0"/>
                <w:numId w:val="2"/>
              </w:numPr>
              <w:spacing w:after="60" w:line="280"/>
            </w:pPr>
            <w:r>
              <w:rPr>
                <w:sz w:val="20"/>
                <w:szCs w:val="20"/>
              </w:rPr>
              <w:t xml:space="preserve">RQ4 buffer study: replay of the 2020 and 2024 gold drawdowns plus 10,000 Monte Carlo GBM paths at 1σ/2σ/3σ, control (no buffer, Aave-V3 params) vs. Model 5</w:t>
            </w:r>
          </w:p>
          <w:p>
            <w:pPr>
              <w:pStyle w:val="ListParagraph"/>
              <w:numPr>
                <w:ilvl w:val="0"/>
                <w:numId w:val="2"/>
              </w:numPr>
              <w:spacing w:after="60" w:line="280"/>
            </w:pPr>
            <w:r>
              <w:rPr>
                <w:sz w:val="20"/>
                <w:szCs w:val="20"/>
              </w:rPr>
              <w:t xml:space="preserve">RQ3 oracle-attack suite: 1/2/3 malicious sources, stale source, large deviation, correlated majority — asserting rejection at the specific named check</w:t>
            </w:r>
          </w:p>
          <w:p>
            <w:pPr>
              <w:pStyle w:val="ListParagraph"/>
              <w:numPr>
                <w:ilvl w:val="0"/>
                <w:numId w:val="2"/>
              </w:numPr>
              <w:spacing w:after="60" w:line="280"/>
            </w:pPr>
            <w:r>
              <w:rPr>
                <w:sz w:val="20"/>
                <w:szCs w:val="20"/>
              </w:rPr>
              <w:t xml:space="preserve">Non-functional target verification against Table 8 of the proposal (signing latency, e2e action latency, risk-sweep latency, marginal PQ gas cost, coverage, auditability, infra cost)</w:t>
            </w:r>
          </w:p>
          <w:p>
            <w:pPr>
              <w:pStyle w:val="ListParagraph"/>
              <w:numPr>
                <w:ilvl w:val="0"/>
                <w:numId w:val="2"/>
              </w:numPr>
              <w:spacing w:after="60" w:line="280"/>
            </w:pPr>
            <w:r>
              <w:rPr>
                <w:sz w:val="20"/>
                <w:szCs w:val="20"/>
              </w:rPr>
              <w:t xml:space="preserve">Reproduction scripts and the dataset package; ADR log and thesis assembly</w:t>
            </w:r>
          </w:p>
          <w:p>
            <w:pPr>
              <w:spacing w:after="40" w:before="140"/>
            </w:pPr>
            <w:r>
              <w:rPr>
                <w:b/>
                <w:bCs/>
                <w:caps/>
                <w:color w:val="6B7280"/>
                <w:sz w:val="18"/>
                <w:szCs w:val="18"/>
              </w:rPr>
              <w:t xml:space="preserve">Depends on</w:t>
            </w:r>
          </w:p>
          <w:p>
            <w:pPr>
              <w:spacing w:after="40"/>
            </w:pPr>
            <w:r>
              <w:rPr>
                <w:i/>
                <w:iCs/>
                <w:color w:val="333333"/>
                <w:sz w:val="20"/>
                <w:szCs w:val="20"/>
              </w:rPr>
              <w:t xml:space="preserve">M0–M10 feature-complete.</w:t>
            </w:r>
          </w:p>
          <w:p>
            <w:pPr>
              <w:spacing w:after="40" w:before="140"/>
            </w:pPr>
            <w:r>
              <w:rPr>
                <w:b/>
                <w:bCs/>
                <w:caps/>
                <w:color w:val="1E7A46"/>
                <w:sz w:val="18"/>
                <w:szCs w:val="18"/>
              </w:rPr>
              <w:t xml:space="preserve">Done when</w:t>
            </w:r>
          </w:p>
          <w:p>
            <w:pPr>
              <w:spacing w:after="20"/>
            </w:pPr>
            <w:r>
              <w:rPr>
                <w:color w:val="1A1A1A"/>
                <w:sz w:val="20"/>
                <w:szCs w:val="20"/>
              </w:rPr>
              <w:t xml:space="preserve">Every research-question table in the proposal's §VII is populated from measured runs, not projected arithmetic.</w:t>
            </w:r>
          </w:p>
        </w:tc>
      </w:tr>
    </w:tbl>
    <w:p>
      <w:r>
        <w:br w:type="page"/>
      </w:r>
    </w:p>
    <w:p>
      <w:pPr>
        <w:pStyle w:val="Heading1"/>
        <w:pBdr>
          <w:bottom w:val="single" w:color="1F3864" w:sz="6" w:space="4"/>
        </w:pBdr>
        <w:spacing w:after="160" w:before="360"/>
      </w:pPr>
      <w:r>
        <w:rPr>
          <w:b/>
          <w:bCs/>
          <w:color w:val="1F3864"/>
          <w:sz w:val="30"/>
          <w:szCs w:val="30"/>
        </w:rPr>
        <w:t xml:space="preserve">Appendix — Module Reference Table</w:t>
      </w:r>
    </w:p>
    <w:p>
      <w:pPr>
        <w:spacing w:after="120" w:line="300"/>
      </w:pPr>
      <w:r>
        <w:rPr>
          <w:sz w:val="21"/>
          <w:szCs w:val="21"/>
        </w:rPr>
        <w:t xml:space="preserve">A flat reference for standups and sprint planning. “Done when” is the acceptance test from the proposal's Table 7, not a status report.</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600"/>
        <w:gridCol w:w="3200"/>
      </w:tblGrid>
      <w:tr>
        <w:trPr>
          <w:tblHeader/>
        </w:trPr>
        <w:tc>
          <w:tcPr>
            <w:tcW w:type="dxa" w:w="700"/>
            <w:shd w:fill="1F3864" w:val="clear"/>
            <w:tcMar>
              <w:top w:type="dxa" w:w="80"/>
              <w:left w:type="dxa" w:w="100"/>
              <w:bottom w:type="dxa" w:w="80"/>
              <w:right w:type="dxa" w:w="100"/>
            </w:tcMar>
            <w:vAlign w:val="center"/>
          </w:tcPr>
          <w:p>
            <w:pPr>
              <w:jc w:val="left"/>
            </w:pPr>
            <w:r>
              <w:rPr>
                <w:b/>
                <w:bCs/>
                <w:color w:val="FFFFFF"/>
                <w:sz w:val="18"/>
                <w:szCs w:val="18"/>
              </w:rPr>
              <w:t xml:space="preserve">#</w:t>
            </w:r>
          </w:p>
        </w:tc>
        <w:tc>
          <w:tcPr>
            <w:tcW w:type="dxa" w:w="2200"/>
            <w:shd w:fill="1F3864" w:val="clear"/>
            <w:tcMar>
              <w:top w:type="dxa" w:w="80"/>
              <w:left w:type="dxa" w:w="100"/>
              <w:bottom w:type="dxa" w:w="80"/>
              <w:right w:type="dxa" w:w="100"/>
            </w:tcMar>
            <w:vAlign w:val="center"/>
          </w:tcPr>
          <w:p>
            <w:pPr>
              <w:jc w:val="left"/>
            </w:pPr>
            <w:r>
              <w:rPr>
                <w:b/>
                <w:bCs/>
                <w:color w:val="FFFFFF"/>
                <w:sz w:val="18"/>
                <w:szCs w:val="18"/>
              </w:rPr>
              <w:t xml:space="preserve">Module</w:t>
            </w:r>
          </w:p>
        </w:tc>
        <w:tc>
          <w:tcPr>
            <w:tcW w:type="dxa" w:w="3600"/>
            <w:shd w:fill="1F3864" w:val="clear"/>
            <w:tcMar>
              <w:top w:type="dxa" w:w="80"/>
              <w:left w:type="dxa" w:w="100"/>
              <w:bottom w:type="dxa" w:w="80"/>
              <w:right w:type="dxa" w:w="100"/>
            </w:tcMar>
            <w:vAlign w:val="center"/>
          </w:tcPr>
          <w:p>
            <w:pPr>
              <w:jc w:val="left"/>
            </w:pPr>
            <w:r>
              <w:rPr>
                <w:b/>
                <w:bCs/>
                <w:color w:val="FFFFFF"/>
                <w:sz w:val="18"/>
                <w:szCs w:val="18"/>
              </w:rPr>
              <w:t xml:space="preserve">Deliverable</w:t>
            </w:r>
          </w:p>
        </w:tc>
        <w:tc>
          <w:tcPr>
            <w:tcW w:type="dxa" w:w="3200"/>
            <w:shd w:fill="1F3864" w:val="clear"/>
            <w:tcMar>
              <w:top w:type="dxa" w:w="80"/>
              <w:left w:type="dxa" w:w="100"/>
              <w:bottom w:type="dxa" w:w="80"/>
              <w:right w:type="dxa" w:w="100"/>
            </w:tcMar>
            <w:vAlign w:val="center"/>
          </w:tcPr>
          <w:p>
            <w:pPr>
              <w:jc w:val="left"/>
            </w:pPr>
            <w:r>
              <w:rPr>
                <w:b/>
                <w:bCs/>
                <w:color w:val="FFFFFF"/>
                <w:sz w:val="18"/>
                <w:szCs w:val="18"/>
              </w:rPr>
              <w:t xml:space="preserve">Done when</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M0</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Foundation &amp; Devnet</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Monorepo, CI, local chain, deployment scripts</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One-command devnet on a clean clone; CI green</w:t>
            </w:r>
          </w:p>
        </w:tc>
      </w:tr>
      <w:tr>
        <w:tc>
          <w:tcPr>
            <w:tcW w:type="dxa" w:w="7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M1</w:t>
            </w:r>
          </w:p>
        </w:tc>
        <w:tc>
          <w:tcPr>
            <w:tcW w:type="dxa" w:w="2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PQ Core</w:t>
            </w:r>
          </w:p>
        </w:tc>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Signing/verification library, native + WASM</w:t>
            </w:r>
          </w:p>
        </w:tc>
        <w:tc>
          <w:tcPr>
            <w:tcW w:type="dxa" w:w="3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All CAVP vectors pass in both builds; gas report published</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M2</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PQ-PKI &amp; Envelope</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Three-tier hierarchy, rotation/revocation, 7-condition verifier</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Rotation/revocation end-to-end; replay suite rejects at named check</w:t>
            </w:r>
          </w:p>
        </w:tc>
      </w:tr>
      <w:tr>
        <w:tc>
          <w:tcPr>
            <w:tcW w:type="dxa" w:w="7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M3</w:t>
            </w:r>
          </w:p>
        </w:tc>
        <w:tc>
          <w:tcPr>
            <w:tcW w:type="dxa" w:w="2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Registry &amp; Compliance</w:t>
            </w:r>
          </w:p>
        </w:tc>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Asset lifecycle, identity registry, compliance module, provider console</w:t>
            </w:r>
          </w:p>
        </w:tc>
        <w:tc>
          <w:tcPr>
            <w:tcW w:type="dxa" w:w="3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Provider onboards a gold lot unaided; API-bypassing transfer refused</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M4</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Vault Accounting</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Share mint/redeem with inflation hardening</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10^6 fuzzed sequences: no inflation, no rounding violation</w:t>
            </w:r>
          </w:p>
        </w:tc>
      </w:tr>
      <w:tr>
        <w:tc>
          <w:tcPr>
            <w:tcW w:type="dxa" w:w="7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M5</w:t>
            </w:r>
          </w:p>
        </w:tc>
        <w:tc>
          <w:tcPr>
            <w:tcW w:type="dxa" w:w="2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Oracle &amp; Proof-of-Reserve</w:t>
            </w:r>
          </w:p>
        </w:tc>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Signed price rounds, custodian attestation flow</w:t>
            </w:r>
          </w:p>
        </w:tc>
        <w:tc>
          <w:tcPr>
            <w:tcW w:type="dxa" w:w="3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Injected malicious source flagged; committed median unmoved</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M6</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Risk Engine</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Health-factor sweep, notifications, liquidation proposals</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p95 &lt; 500 ms at 10,000 positions</w:t>
            </w:r>
          </w:p>
        </w:tc>
      </w:tr>
      <w:tr>
        <w:tc>
          <w:tcPr>
            <w:tcW w:type="dxa" w:w="7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M7</w:t>
            </w:r>
          </w:p>
        </w:tc>
        <w:tc>
          <w:tcPr>
            <w:tcW w:type="dxa" w:w="2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Lending &amp; Liquidation</w:t>
            </w:r>
          </w:p>
        </w:tc>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Index accrual, capacity checks, buffer band, decaying-bonus liquidation</w:t>
            </w:r>
          </w:p>
        </w:tc>
        <w:tc>
          <w:tcPr>
            <w:tcW w:type="dxa" w:w="3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10,000-path Monte Carlo at 3σ produces zero bad debt</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M8</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Settlement Rail (mock)</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PKR on/off-ramp simulation with injectable failures/delays</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1,000 randomised orders leave the ledger balanced</w:t>
            </w:r>
          </w:p>
        </w:tc>
      </w:tr>
      <w:tr>
        <w:tc>
          <w:tcPr>
            <w:tcW w:type="dxa" w:w="7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M9</w:t>
            </w:r>
          </w:p>
        </w:tc>
        <w:tc>
          <w:tcPr>
            <w:tcW w:type="dxa" w:w="2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Anchoring &amp; Audit</w:t>
            </w:r>
          </w:p>
        </w:tc>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Epoch batcher, proof service, independent verifier</w:t>
            </w:r>
          </w:p>
        </w:tc>
        <w:tc>
          <w:tcPr>
            <w:tcW w:type="dxa" w:w="3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Exported bundle verifies on a machine that never contacted us</w:t>
            </w:r>
          </w:p>
        </w:tc>
      </w:tr>
      <w:tr>
        <w:tc>
          <w:tcPr>
            <w:tcW w:type="dxa" w:w="7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M10</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Clients</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Investor PWA, provider and operations consoles</w:t>
            </w:r>
          </w:p>
        </w:tc>
        <w:tc>
          <w:tcPr>
            <w:tcW w:type="dxa" w:w="3200"/>
            <w:shd w:fill="FFFFFF" w:val="clear"/>
            <w:tcMar>
              <w:top w:type="dxa" w:w="80"/>
              <w:left w:type="dxa" w:w="100"/>
              <w:bottom w:type="dxa" w:w="80"/>
              <w:right w:type="dxa" w:w="100"/>
            </w:tcMar>
            <w:vAlign w:val="center"/>
          </w:tcPr>
          <w:p>
            <w:pPr>
              <w:jc w:val="left"/>
            </w:pPr>
            <w:r>
              <w:rPr>
                <w:b w:val="false"/>
                <w:bCs w:val="false"/>
                <w:color w:val="1A1A1A"/>
                <w:sz w:val="18"/>
                <w:szCs w:val="18"/>
              </w:rPr>
              <w:t xml:space="preserve">A non-technical tester completes the full journey unaided</w:t>
            </w:r>
          </w:p>
        </w:tc>
      </w:tr>
      <w:tr>
        <w:tc>
          <w:tcPr>
            <w:tcW w:type="dxa" w:w="7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M11</w:t>
            </w:r>
          </w:p>
        </w:tc>
        <w:tc>
          <w:tcPr>
            <w:tcW w:type="dxa" w:w="2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Evaluation Harness</w:t>
            </w:r>
          </w:p>
        </w:tc>
        <w:tc>
          <w:tcPr>
            <w:tcW w:type="dxa" w:w="36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Benchmark suites, simulation datasets, reproduction scripts</w:t>
            </w:r>
          </w:p>
        </w:tc>
        <w:tc>
          <w:tcPr>
            <w:tcW w:type="dxa" w:w="3200"/>
            <w:shd w:fill="F3F4F6" w:val="clear"/>
            <w:tcMar>
              <w:top w:type="dxa" w:w="80"/>
              <w:left w:type="dxa" w:w="100"/>
              <w:bottom w:type="dxa" w:w="80"/>
              <w:right w:type="dxa" w:w="100"/>
            </w:tcMar>
            <w:vAlign w:val="center"/>
          </w:tcPr>
          <w:p>
            <w:pPr>
              <w:jc w:val="left"/>
            </w:pPr>
            <w:r>
              <w:rPr>
                <w:b w:val="false"/>
                <w:bCs w:val="false"/>
                <w:color w:val="1A1A1A"/>
                <w:sz w:val="18"/>
                <w:szCs w:val="18"/>
              </w:rPr>
              <w:t xml:space="preserve">Every RQ table populated from measured runs</w:t>
            </w:r>
          </w:p>
        </w:tc>
      </w:tr>
    </w:tbl>
    <w:p>
      <w:pPr>
        <w:spacing w:after="300"/>
      </w:pPr>
    </w:p>
    <w:p>
      <w:pPr>
        <w:pStyle w:val="Heading3"/>
        <w:spacing w:after="100" w:before="200"/>
      </w:pPr>
      <w:r>
        <w:rPr>
          <w:b/>
          <w:bCs/>
          <w:color w:val="222222"/>
          <w:sz w:val="22"/>
          <w:szCs w:val="22"/>
        </w:rPr>
        <w:t xml:space="preserve">Cross-cutting rules that apply to every module</w:t>
      </w:r>
    </w:p>
    <w:p>
      <w:pPr>
        <w:pStyle w:val="ListParagraph"/>
        <w:numPr>
          <w:ilvl w:val="0"/>
          <w:numId w:val="2"/>
        </w:numPr>
        <w:spacing w:after="60" w:line="280"/>
      </w:pPr>
      <w:r>
        <w:rPr>
          <w:sz w:val="20"/>
          <w:szCs w:val="20"/>
        </w:rPr>
        <w:t xml:space="preserve">A module is admitted only if its interface can be written before its implementation, its dependency set is acyclic, and its acceptance test is runnable by a third party.</w:t>
      </w:r>
    </w:p>
    <w:p>
      <w:pPr>
        <w:pStyle w:val="ListParagraph"/>
        <w:numPr>
          <w:ilvl w:val="0"/>
          <w:numId w:val="2"/>
        </w:numPr>
        <w:spacing w:after="60" w:line="280"/>
      </w:pPr>
      <w:r>
        <w:rPr>
          <w:sz w:val="20"/>
          <w:szCs w:val="20"/>
        </w:rPr>
        <w:t xml:space="preserve">Each module opens with a pull request containing only its interface and invariants, approved by the consumers of that interface before any implementation is written.</w:t>
      </w:r>
    </w:p>
    <w:p>
      <w:pPr>
        <w:pStyle w:val="ListParagraph"/>
        <w:numPr>
          <w:ilvl w:val="0"/>
          <w:numId w:val="2"/>
        </w:numPr>
        <w:spacing w:after="60" w:line="280"/>
      </w:pPr>
      <w:r>
        <w:rPr>
          <w:sz w:val="20"/>
          <w:szCs w:val="20"/>
        </w:rPr>
        <w:t xml:space="preserve">Contract changes must pass the Foundry invariant suite in CI, in addition to two required approvals, before merge.</w:t>
      </w:r>
    </w:p>
    <w:p>
      <w:pPr>
        <w:pStyle w:val="ListParagraph"/>
        <w:numPr>
          <w:ilvl w:val="0"/>
          <w:numId w:val="2"/>
        </w:numPr>
        <w:spacing w:after="60" w:line="280"/>
      </w:pPr>
      <w:r>
        <w:rPr>
          <w:sz w:val="20"/>
          <w:szCs w:val="20"/>
        </w:rPr>
        <w:t xml:space="preserve">An architecture decision record (docs/adr/) accompanies each non-obvious design decision, so the thesis is assembled from artefacts rather than reconstructed at the 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B7280"/>
        <w:sz w:val="15"/>
        <w:szCs w:val="15"/>
      </w:rPr>
      <w:t xml:space="preserve">RWA-Vault — Module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2026-08-17T07:28:33.749Z</dcterms:created>
  <dcterms:modified xsi:type="dcterms:W3CDTF">2026-08-17T07:28:33.751Z</dcterms:modified>
</cp:coreProperties>
</file>

<file path=docProps/custom.xml><?xml version="1.0" encoding="utf-8"?>
<Properties xmlns="http://schemas.openxmlformats.org/officeDocument/2006/custom-properties" xmlns:vt="http://schemas.openxmlformats.org/officeDocument/2006/docPropsVTypes"/>
</file>