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D2A67" w:rsidRPr="005F59A5" w:rsidRDefault="00A340EF" w:rsidP="005F59A5">
      <w:pPr>
        <w:jc w:val="center"/>
        <w:rPr>
          <w:rFonts w:ascii="Lato" w:hAnsi="Lato"/>
          <w:b/>
          <w:bCs/>
          <w:i/>
          <w:iCs/>
          <w:sz w:val="24"/>
          <w:szCs w:val="24"/>
          <w:lang w:val="en-GB"/>
        </w:rPr>
      </w:pPr>
      <w:r w:rsidRPr="005F59A5">
        <w:rPr>
          <w:rFonts w:ascii="Lato" w:hAnsi="Lato"/>
          <w:b/>
          <w:bCs/>
          <w:i/>
          <w:iCs/>
          <w:sz w:val="24"/>
          <w:szCs w:val="24"/>
          <w:lang w:val="en-GB"/>
        </w:rPr>
        <w:t xml:space="preserve">Gardenia by </w:t>
      </w:r>
      <w:proofErr w:type="spellStart"/>
      <w:r w:rsidRPr="005F59A5">
        <w:rPr>
          <w:rFonts w:ascii="Lato" w:hAnsi="Lato"/>
          <w:b/>
          <w:bCs/>
          <w:i/>
          <w:iCs/>
          <w:sz w:val="24"/>
          <w:szCs w:val="24"/>
          <w:lang w:val="en-GB"/>
        </w:rPr>
        <w:t>Binghatti</w:t>
      </w:r>
      <w:proofErr w:type="spellEnd"/>
    </w:p>
    <w:p w:rsidR="00A340EF" w:rsidRPr="005F59A5" w:rsidRDefault="00A340EF" w:rsidP="005F59A5">
      <w:pPr>
        <w:jc w:val="center"/>
        <w:rPr>
          <w:rFonts w:ascii="Lato" w:hAnsi="Lato"/>
          <w:b/>
          <w:bCs/>
          <w:i/>
          <w:iCs/>
          <w:sz w:val="24"/>
          <w:szCs w:val="24"/>
          <w:lang w:val="en-GB"/>
        </w:rPr>
      </w:pPr>
      <w:r w:rsidRPr="005F59A5">
        <w:rPr>
          <w:rFonts w:ascii="Lato" w:hAnsi="Lato"/>
          <w:b/>
          <w:bCs/>
          <w:i/>
          <w:iCs/>
          <w:sz w:val="24"/>
          <w:szCs w:val="24"/>
          <w:lang w:val="en-GB"/>
        </w:rPr>
        <w:t>Jumeirah Village Circle</w:t>
      </w:r>
    </w:p>
    <w:p w:rsidR="00A340EF" w:rsidRPr="005F59A5" w:rsidRDefault="00A340EF">
      <w:pPr>
        <w:rPr>
          <w:rFonts w:ascii="Lato" w:hAnsi="Lato"/>
          <w:sz w:val="24"/>
          <w:szCs w:val="24"/>
          <w:lang w:val="en-GB"/>
        </w:rPr>
      </w:pPr>
      <w:proofErr w:type="spellStart"/>
      <w:r w:rsidRPr="005F59A5">
        <w:rPr>
          <w:rFonts w:ascii="Lato" w:hAnsi="Lato"/>
          <w:sz w:val="24"/>
          <w:szCs w:val="24"/>
          <w:lang w:val="en-GB"/>
        </w:rPr>
        <w:t>Binghatti</w:t>
      </w:r>
      <w:proofErr w:type="spellEnd"/>
      <w:r w:rsidRPr="005F59A5">
        <w:rPr>
          <w:rFonts w:ascii="Lato" w:hAnsi="Lato"/>
          <w:sz w:val="24"/>
          <w:szCs w:val="24"/>
          <w:lang w:val="en-GB"/>
        </w:rPr>
        <w:t xml:space="preserve"> Gardenia offers a panoramic view of the city, depicting a picturesque backdrop exclusive for its residents. Each view is carefully framed to provide a sense of ethereal and delight.</w:t>
      </w:r>
    </w:p>
    <w:p w:rsidR="00A340EF" w:rsidRPr="005F59A5" w:rsidRDefault="00A340EF">
      <w:pPr>
        <w:rPr>
          <w:rFonts w:ascii="Lato" w:hAnsi="Lato"/>
          <w:sz w:val="24"/>
          <w:szCs w:val="24"/>
          <w:lang w:val="en-GB"/>
        </w:rPr>
      </w:pPr>
      <w:r w:rsidRPr="005F59A5">
        <w:rPr>
          <w:rFonts w:ascii="Lato" w:hAnsi="Lato"/>
          <w:sz w:val="24"/>
          <w:szCs w:val="24"/>
          <w:lang w:val="en-GB"/>
        </w:rPr>
        <w:t>The interiors are meticulously curated to provide an ambiance of comfort, sophistication, and indulgence.</w:t>
      </w:r>
      <w:r w:rsidRPr="005F59A5">
        <w:rPr>
          <w:rFonts w:ascii="Lato" w:hAnsi="Lato"/>
          <w:sz w:val="24"/>
          <w:szCs w:val="24"/>
          <w:lang w:val="en-GB"/>
        </w:rPr>
        <w:t xml:space="preserve"> </w:t>
      </w:r>
      <w:r w:rsidRPr="005F59A5">
        <w:rPr>
          <w:rFonts w:ascii="Lato" w:hAnsi="Lato"/>
          <w:sz w:val="24"/>
          <w:szCs w:val="24"/>
          <w:lang w:val="en-GB"/>
        </w:rPr>
        <w:t>The hyper tower captures the essence of luxuriant living amidst a captivating metropolis, a haven of exquisite living, featuring an array of exceptional offerings.</w:t>
      </w:r>
    </w:p>
    <w:p w:rsidR="00A340EF" w:rsidRPr="005F59A5" w:rsidRDefault="00A340EF">
      <w:pPr>
        <w:rPr>
          <w:rFonts w:ascii="Lato" w:hAnsi="Lato"/>
          <w:sz w:val="24"/>
          <w:szCs w:val="24"/>
          <w:lang w:val="en-GB"/>
        </w:rPr>
      </w:pPr>
    </w:p>
    <w:p w:rsidR="00A340EF" w:rsidRPr="005F59A5" w:rsidRDefault="00A340EF">
      <w:pPr>
        <w:rPr>
          <w:rFonts w:ascii="Lato" w:hAnsi="Lato"/>
          <w:b/>
          <w:bCs/>
          <w:i/>
          <w:iCs/>
          <w:sz w:val="24"/>
          <w:szCs w:val="24"/>
          <w:u w:val="single"/>
          <w:lang w:val="en-GB"/>
        </w:rPr>
      </w:pPr>
      <w:r w:rsidRPr="005F59A5">
        <w:rPr>
          <w:rFonts w:ascii="Lato" w:hAnsi="Lato"/>
          <w:b/>
          <w:bCs/>
          <w:i/>
          <w:iCs/>
          <w:sz w:val="24"/>
          <w:szCs w:val="24"/>
          <w:u w:val="single"/>
          <w:lang w:val="en-GB"/>
        </w:rPr>
        <w:t>Landmarks</w:t>
      </w:r>
    </w:p>
    <w:p w:rsidR="00A340EF" w:rsidRPr="005F59A5" w:rsidRDefault="00A340EF">
      <w:pPr>
        <w:rPr>
          <w:rFonts w:ascii="Lato" w:hAnsi="Lato"/>
          <w:sz w:val="24"/>
          <w:szCs w:val="24"/>
          <w:lang w:val="en-GB"/>
        </w:rPr>
      </w:pPr>
      <w:r w:rsidRPr="005F59A5">
        <w:rPr>
          <w:rFonts w:ascii="Lato" w:hAnsi="Lato"/>
          <w:sz w:val="24"/>
          <w:szCs w:val="24"/>
          <w:lang w:val="en-GB"/>
        </w:rPr>
        <w:t>07 min from the Mall of the Emirates</w:t>
      </w:r>
    </w:p>
    <w:p w:rsidR="00A340EF" w:rsidRPr="005F59A5" w:rsidRDefault="00A340EF">
      <w:pPr>
        <w:rPr>
          <w:rFonts w:ascii="Lato" w:hAnsi="Lato"/>
          <w:sz w:val="24"/>
          <w:szCs w:val="24"/>
          <w:lang w:val="en-GB"/>
        </w:rPr>
      </w:pPr>
      <w:r w:rsidRPr="005F59A5">
        <w:rPr>
          <w:rFonts w:ascii="Lato" w:hAnsi="Lato"/>
          <w:sz w:val="24"/>
          <w:szCs w:val="24"/>
          <w:lang w:val="en-GB"/>
        </w:rPr>
        <w:t>10 min from Dubai Marina</w:t>
      </w:r>
    </w:p>
    <w:p w:rsidR="00A340EF" w:rsidRPr="005F59A5" w:rsidRDefault="00A340EF">
      <w:pPr>
        <w:rPr>
          <w:rFonts w:ascii="Lato" w:hAnsi="Lato"/>
          <w:sz w:val="24"/>
          <w:szCs w:val="24"/>
          <w:lang w:val="en-GB"/>
        </w:rPr>
      </w:pPr>
      <w:r w:rsidRPr="005F59A5">
        <w:rPr>
          <w:rFonts w:ascii="Lato" w:hAnsi="Lato"/>
          <w:sz w:val="24"/>
          <w:szCs w:val="24"/>
          <w:lang w:val="en-GB"/>
        </w:rPr>
        <w:t>12 min from Down Town</w:t>
      </w:r>
    </w:p>
    <w:p w:rsidR="00A340EF" w:rsidRDefault="00A340EF">
      <w:pPr>
        <w:rPr>
          <w:lang w:val="en-GB"/>
        </w:rPr>
      </w:pPr>
    </w:p>
    <w:p w:rsidR="00A340EF" w:rsidRPr="00A340EF" w:rsidRDefault="00A340EF">
      <w:pPr>
        <w:rPr>
          <w:lang w:val="en-GB"/>
        </w:rPr>
      </w:pPr>
    </w:p>
    <w:sectPr w:rsidR="00A340EF" w:rsidRPr="00A340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0EF"/>
    <w:rsid w:val="00243824"/>
    <w:rsid w:val="005F59A5"/>
    <w:rsid w:val="008D2A67"/>
    <w:rsid w:val="00A340EF"/>
    <w:rsid w:val="00B65EA3"/>
    <w:rsid w:val="00EE2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4F81F"/>
  <w15:chartTrackingRefBased/>
  <w15:docId w15:val="{1EB994A9-FCF3-45AB-9D0E-618ACBAC3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Tauseef</dc:creator>
  <cp:keywords/>
  <dc:description/>
  <cp:lastModifiedBy>Faisal Tauseef</cp:lastModifiedBy>
  <cp:revision>1</cp:revision>
  <dcterms:created xsi:type="dcterms:W3CDTF">2023-09-30T13:36:00Z</dcterms:created>
  <dcterms:modified xsi:type="dcterms:W3CDTF">2023-09-30T13:48:00Z</dcterms:modified>
</cp:coreProperties>
</file>