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Aptos Display" w:hAnsi="Aptos Display"/>
          <w:b/>
          <w:color w:val="17365D"/>
          <w:sz w:val="26"/>
        </w:rPr>
        <w:t>PHASE 1 RESEARCH PROPOSAL</w:t>
      </w:r>
    </w:p>
    <w:p>
      <w:pPr>
        <w:spacing w:before="240" w:after="240"/>
        <w:jc w:val="center"/>
      </w:pPr>
      <w:r>
        <w:rPr>
          <w:rFonts w:ascii="Aptos Display" w:hAnsi="Aptos Display"/>
          <w:b/>
          <w:color w:val="000000"/>
          <w:sz w:val="46"/>
        </w:rPr>
        <w:t>Evaluating Hysteresis Aware Adaptive DNN Split Inference under Fluctuating Edge Cloud Network Conditions</w:t>
      </w:r>
    </w:p>
    <w:p>
      <w:pPr>
        <w:spacing w:after="360"/>
        <w:jc w:val="center"/>
      </w:pPr>
      <w:r>
        <w:rPr>
          <w:rFonts w:ascii="Aptos" w:hAnsi="Aptos"/>
          <w:b/>
          <w:color w:val="17365D"/>
          <w:sz w:val="23"/>
        </w:rPr>
        <w:t>Approved research direction  Edge Cloud Intelligence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520"/>
            <w:shd w:fill="17365D"/>
            <w:vAlign w:val="center"/>
            <w:tcMar>
              <w:top w:w="110" w:type="dxa"/>
              <w:start w:w="130" w:type="dxa"/>
              <w:bottom w:w="110" w:type="dxa"/>
              <w:end w:w="130" w:type="dxa"/>
            </w:tcMar>
          </w:tcPr>
          <w:p>
            <w:pPr>
              <w:spacing w:after="0"/>
              <w:jc w:val="left"/>
            </w:pPr>
            <w:r>
              <w:rPr>
                <w:rFonts w:ascii="Aptos" w:hAnsi="Aptos"/>
                <w:b/>
                <w:color w:val="FFFFFF"/>
                <w:sz w:val="18"/>
              </w:rPr>
              <w:t>Group information</w:t>
            </w:r>
          </w:p>
        </w:tc>
        <w:tc>
          <w:tcPr>
            <w:tcW w:type="dxa" w:w="7128"/>
            <w:shd w:fill="17365D"/>
            <w:vAlign w:val="center"/>
            <w:tcMar>
              <w:top w:w="110" w:type="dxa"/>
              <w:start w:w="130" w:type="dxa"/>
              <w:bottom w:w="110" w:type="dxa"/>
              <w:end w:w="130" w:type="dxa"/>
            </w:tcMar>
          </w:tcPr>
          <w:p>
            <w:pPr>
              <w:spacing w:after="0"/>
              <w:jc w:val="left"/>
            </w:pPr>
            <w:r>
              <w:rPr>
                <w:rFonts w:ascii="Aptos" w:hAnsi="Aptos"/>
                <w:b/>
                <w:color w:val="FFFFFF"/>
                <w:sz w:val="18"/>
              </w:rPr>
              <w:t>Details</w:t>
            </w:r>
          </w:p>
        </w:tc>
      </w:tr>
      <w:tr>
        <w:tc>
          <w:tcPr>
            <w:tcW w:type="dxa" w:w="2520"/>
            <w:vAlign w:val="center"/>
            <w:tcMar>
              <w:top w:w="110" w:type="dxa"/>
              <w:start w:w="130" w:type="dxa"/>
              <w:bottom w:w="110" w:type="dxa"/>
              <w:end w:w="130" w:type="dxa"/>
            </w:tcMar>
          </w:tcPr>
          <w:p>
            <w:pPr>
              <w:spacing w:after="0" w:line="250" w:lineRule="auto"/>
            </w:pPr>
            <w:r>
              <w:rPr>
                <w:rFonts w:ascii="Aptos" w:hAnsi="Aptos"/>
                <w:color w:val="000000"/>
                <w:sz w:val="19"/>
              </w:rPr>
              <w:t>Group ID</w:t>
            </w:r>
          </w:p>
        </w:tc>
        <w:tc>
          <w:tcPr>
            <w:tcW w:type="dxa" w:w="7128"/>
            <w:vAlign w:val="center"/>
            <w:tcMar>
              <w:top w:w="110" w:type="dxa"/>
              <w:start w:w="130" w:type="dxa"/>
              <w:bottom w:w="110" w:type="dxa"/>
              <w:end w:w="130" w:type="dxa"/>
            </w:tcMar>
          </w:tcPr>
          <w:p>
            <w:pPr>
              <w:spacing w:after="0" w:line="250" w:lineRule="auto"/>
            </w:pPr>
            <w:r>
              <w:rPr>
                <w:rFonts w:ascii="Aptos" w:hAnsi="Aptos"/>
                <w:color w:val="000000"/>
                <w:sz w:val="19"/>
              </w:rPr>
              <w:t>________________________</w:t>
            </w:r>
          </w:p>
        </w:tc>
      </w:tr>
      <w:tr>
        <w:tc>
          <w:tcPr>
            <w:tcW w:type="dxa" w:w="2520"/>
            <w:shd w:fill="EAF1F8"/>
            <w:vAlign w:val="center"/>
            <w:tcMar>
              <w:top w:w="110" w:type="dxa"/>
              <w:start w:w="130" w:type="dxa"/>
              <w:bottom w:w="110" w:type="dxa"/>
              <w:end w:w="130" w:type="dxa"/>
            </w:tcMar>
          </w:tcPr>
          <w:p>
            <w:pPr>
              <w:spacing w:after="0" w:line="250" w:lineRule="auto"/>
            </w:pPr>
            <w:r>
              <w:rPr>
                <w:rFonts w:ascii="Aptos" w:hAnsi="Aptos"/>
                <w:color w:val="000000"/>
                <w:sz w:val="19"/>
              </w:rPr>
              <w:t>Section</w:t>
            </w:r>
          </w:p>
        </w:tc>
        <w:tc>
          <w:tcPr>
            <w:tcW w:type="dxa" w:w="7128"/>
            <w:shd w:fill="EAF1F8"/>
            <w:vAlign w:val="center"/>
            <w:tcMar>
              <w:top w:w="110" w:type="dxa"/>
              <w:start w:w="130" w:type="dxa"/>
              <w:bottom w:w="110" w:type="dxa"/>
              <w:end w:w="130" w:type="dxa"/>
            </w:tcMar>
          </w:tcPr>
          <w:p>
            <w:pPr>
              <w:spacing w:after="0" w:line="250" w:lineRule="auto"/>
            </w:pPr>
            <w:r>
              <w:rPr>
                <w:rFonts w:ascii="Aptos" w:hAnsi="Aptos"/>
                <w:color w:val="000000"/>
                <w:sz w:val="19"/>
              </w:rPr>
              <w:t>________________________  A  B  or  A plus B</w:t>
            </w:r>
          </w:p>
        </w:tc>
      </w:tr>
      <w:tr>
        <w:tc>
          <w:tcPr>
            <w:tcW w:type="dxa" w:w="2520"/>
            <w:vAlign w:val="center"/>
            <w:tcMar>
              <w:top w:w="110" w:type="dxa"/>
              <w:start w:w="130" w:type="dxa"/>
              <w:bottom w:w="110" w:type="dxa"/>
              <w:end w:w="130" w:type="dxa"/>
            </w:tcMar>
          </w:tcPr>
          <w:p>
            <w:pPr>
              <w:spacing w:after="0" w:line="250" w:lineRule="auto"/>
            </w:pPr>
            <w:r>
              <w:rPr>
                <w:rFonts w:ascii="Aptos" w:hAnsi="Aptos"/>
                <w:color w:val="000000"/>
                <w:sz w:val="19"/>
              </w:rPr>
              <w:t>Primary Researcher</w:t>
            </w:r>
          </w:p>
        </w:tc>
        <w:tc>
          <w:tcPr>
            <w:tcW w:type="dxa" w:w="7128"/>
            <w:vAlign w:val="center"/>
            <w:tcMar>
              <w:top w:w="110" w:type="dxa"/>
              <w:start w:w="130" w:type="dxa"/>
              <w:bottom w:w="110" w:type="dxa"/>
              <w:end w:w="130" w:type="dxa"/>
            </w:tcMar>
          </w:tcPr>
          <w:p>
            <w:pPr>
              <w:spacing w:after="0" w:line="250" w:lineRule="auto"/>
            </w:pPr>
            <w:r>
              <w:rPr>
                <w:rFonts w:ascii="Aptos" w:hAnsi="Aptos"/>
                <w:color w:val="000000"/>
                <w:sz w:val="19"/>
              </w:rPr>
              <w:t>________________________  Roll number and institutional email</w:t>
            </w:r>
          </w:p>
        </w:tc>
      </w:tr>
      <w:tr>
        <w:tc>
          <w:tcPr>
            <w:tcW w:type="dxa" w:w="2520"/>
            <w:shd w:fill="EAF1F8"/>
            <w:vAlign w:val="center"/>
            <w:tcMar>
              <w:top w:w="110" w:type="dxa"/>
              <w:start w:w="130" w:type="dxa"/>
              <w:bottom w:w="110" w:type="dxa"/>
              <w:end w:w="130" w:type="dxa"/>
            </w:tcMar>
          </w:tcPr>
          <w:p>
            <w:pPr>
              <w:spacing w:after="0" w:line="250" w:lineRule="auto"/>
            </w:pPr>
            <w:r>
              <w:rPr>
                <w:rFonts w:ascii="Aptos" w:hAnsi="Aptos"/>
                <w:color w:val="000000"/>
                <w:sz w:val="19"/>
              </w:rPr>
              <w:t>Co Researcher</w:t>
            </w:r>
          </w:p>
        </w:tc>
        <w:tc>
          <w:tcPr>
            <w:tcW w:type="dxa" w:w="7128"/>
            <w:shd w:fill="EAF1F8"/>
            <w:vAlign w:val="center"/>
            <w:tcMar>
              <w:top w:w="110" w:type="dxa"/>
              <w:start w:w="130" w:type="dxa"/>
              <w:bottom w:w="110" w:type="dxa"/>
              <w:end w:w="130" w:type="dxa"/>
            </w:tcMar>
          </w:tcPr>
          <w:p>
            <w:pPr>
              <w:spacing w:after="0" w:line="250" w:lineRule="auto"/>
            </w:pPr>
            <w:r>
              <w:rPr>
                <w:rFonts w:ascii="Aptos" w:hAnsi="Aptos"/>
                <w:color w:val="000000"/>
                <w:sz w:val="19"/>
              </w:rPr>
              <w:t>________________________  Roll number and institutional email</w:t>
            </w:r>
          </w:p>
        </w:tc>
      </w:tr>
      <w:tr>
        <w:tc>
          <w:tcPr>
            <w:tcW w:type="dxa" w:w="2520"/>
            <w:vAlign w:val="center"/>
            <w:tcMar>
              <w:top w:w="110" w:type="dxa"/>
              <w:start w:w="130" w:type="dxa"/>
              <w:bottom w:w="110" w:type="dxa"/>
              <w:end w:w="130" w:type="dxa"/>
            </w:tcMar>
          </w:tcPr>
          <w:p>
            <w:pPr>
              <w:spacing w:after="0" w:line="250" w:lineRule="auto"/>
            </w:pPr>
            <w:r>
              <w:rPr>
                <w:rFonts w:ascii="Aptos" w:hAnsi="Aptos"/>
                <w:color w:val="000000"/>
                <w:sz w:val="19"/>
              </w:rPr>
              <w:t>Topic status</w:t>
            </w:r>
          </w:p>
        </w:tc>
        <w:tc>
          <w:tcPr>
            <w:tcW w:type="dxa" w:w="7128"/>
            <w:vAlign w:val="center"/>
            <w:tcMar>
              <w:top w:w="110" w:type="dxa"/>
              <w:start w:w="130" w:type="dxa"/>
              <w:bottom w:w="110" w:type="dxa"/>
              <w:end w:w="130" w:type="dxa"/>
            </w:tcMar>
          </w:tcPr>
          <w:p>
            <w:pPr>
              <w:spacing w:after="0" w:line="250" w:lineRule="auto"/>
            </w:pPr>
            <w:r>
              <w:rPr>
                <w:rFonts w:ascii="Aptos" w:hAnsi="Aptos"/>
                <w:color w:val="000000"/>
                <w:sz w:val="19"/>
              </w:rPr>
              <w:t>Proposed  Change to Approved only after instructor confirmation</w:t>
            </w:r>
          </w:p>
        </w:tc>
      </w:tr>
    </w:tbl>
    <w:p>
      <w:pPr>
        <w:spacing w:after="20"/>
      </w:pPr>
    </w:p>
    <w:p>
      <w:pPr>
        <w:pStyle w:val="Heading1"/>
        <w:keepNext/>
      </w:pPr>
      <w:r>
        <w:rPr>
          <w:rFonts w:ascii="Aptos" w:hAnsi="Aptos"/>
          <w:b/>
          <w:color w:val="000000"/>
          <w:sz w:val="30"/>
        </w:rPr>
        <w:t>Proposal Summary</w:t>
      </w:r>
    </w:p>
    <w:p>
      <w:pPr>
        <w:spacing w:after="140" w:line="269" w:lineRule="auto"/>
      </w:pPr>
      <w:r>
        <w:rPr>
          <w:rFonts w:ascii="Aptos" w:hAnsi="Aptos"/>
          <w:color w:val="000000"/>
          <w:sz w:val="21"/>
        </w:rPr>
        <w:t>This study will evaluate whether a hysteresis-aware runtime policy can select a deep neural network split point across an edge node and a cloud node without reacting excessively to short-lived network changes. The policy will be tested against edge-only, cloud-only, fixed-split, and greedy adaptive baselines under steady, step-change, bursty, and periodic network conditions. The study will emphasize tail latency, service-level objective violations, data transfer, adaptation delay, and switching overhead rather than reporting only average latency.</w:t>
      </w:r>
    </w:p>
    <w:p>
      <w:pPr>
        <w:spacing w:before="160" w:after="0"/>
      </w:pPr>
      <w:r>
        <w:rPr>
          <w:rFonts w:ascii="Aptos" w:hAnsi="Aptos"/>
          <w:b/>
          <w:color w:val="000000"/>
          <w:sz w:val="19"/>
        </w:rPr>
        <w:t xml:space="preserve">Completion note  </w:t>
      </w:r>
      <w:r>
        <w:rPr>
          <w:rFonts w:ascii="Aptos" w:hAnsi="Aptos"/>
          <w:i/>
          <w:color w:val="555555"/>
          <w:sz w:val="19"/>
        </w:rPr>
        <w:t>Fill the group identifiers and live Overleaf and GitHub URLs before submission. The area is approved by the assignment guide; the title still requires instructor approval.</w:t>
      </w:r>
    </w:p>
    <w:p>
      <w:r>
        <w:br w:type="page"/>
      </w:r>
    </w:p>
    <w:p>
      <w:pPr>
        <w:pStyle w:val="Heading1"/>
        <w:keepNext/>
      </w:pPr>
      <w:r>
        <w:rPr>
          <w:rFonts w:ascii="Aptos" w:hAnsi="Aptos"/>
          <w:b/>
          <w:color w:val="000000"/>
          <w:sz w:val="30"/>
        </w:rPr>
        <w:t>1  Problem and Motivation</w:t>
      </w:r>
    </w:p>
    <w:p>
      <w:pPr>
        <w:spacing w:after="140" w:line="269" w:lineRule="auto"/>
      </w:pPr>
      <w:r>
        <w:rPr>
          <w:rFonts w:ascii="Aptos" w:hAnsi="Aptos"/>
          <w:color w:val="000000"/>
          <w:sz w:val="21"/>
        </w:rPr>
        <w:t>Resource-constrained edge devices can provide low-latency and privacy-preserving inference, but they may not have enough compute capacity to execute modern deep neural networks efficiently. Sending every input to a cloud service provides greater compute capacity, yet end-to-end response time becomes sensitive to bandwidth, round-trip time, congestion, and packet loss. Split inference offers a third option: early model layers run at the edge, an intermediate activation is transmitted, and the remaining layers run in the cloud.</w:t>
      </w:r>
    </w:p>
    <w:p>
      <w:pPr>
        <w:spacing w:after="140" w:line="269" w:lineRule="auto"/>
      </w:pPr>
      <w:r>
        <w:rPr>
          <w:rFonts w:ascii="Aptos" w:hAnsi="Aptos"/>
          <w:color w:val="000000"/>
          <w:sz w:val="21"/>
        </w:rPr>
        <w:t>A fixed split point can perform well under the condition for which it was selected and poorly after the network changes. A purely greedy adaptive controller can also be unstable: if it moves the split whenever a newly predicted option is marginally better, noisy measurements or oscillating bandwidth may cause repeated switching. Those switches add control and warm-up overhead and can worsen tail latency even when mean latency appears acceptable. A stable adaptive policy is therefore relevant to real-time edge-cloud applications with explicit latency objectives.</w:t>
      </w:r>
    </w:p>
    <w:p>
      <w:pPr>
        <w:pStyle w:val="Heading1"/>
        <w:keepNext/>
      </w:pPr>
      <w:r>
        <w:rPr>
          <w:rFonts w:ascii="Aptos" w:hAnsi="Aptos"/>
          <w:b/>
          <w:color w:val="000000"/>
          <w:sz w:val="30"/>
        </w:rPr>
        <w:t>2  Initial Research Gap</w:t>
      </w:r>
    </w:p>
    <w:p>
      <w:pPr>
        <w:spacing w:after="140" w:line="269" w:lineRule="auto"/>
      </w:pPr>
      <w:r>
        <w:rPr>
          <w:rFonts w:ascii="Aptos" w:hAnsi="Aptos"/>
          <w:color w:val="000000"/>
          <w:sz w:val="21"/>
        </w:rPr>
        <w:t>Prior work established the value of layer-level partitioning, distributed inference, and adaptation to changing bandwidth and resource conditions [1]-[5]. More recent work has improved profiling and latency estimation for distributed inference [6]. However, the initial literature scan suggests that fewer studies isolate the stability cost of runtime repartitioning under rapidly fluctuating or periodic network traces. In particular, there is room for a reproducible comparison that reports tail latency, SLO violations, switch frequency, and adaptation delay while varying the hysteresis threshold and dwell time. This is an initial gap and will be validated and refined through the systematic literature review in Cutoff 2; it is not yet a claim of final novelty.</w:t>
      </w:r>
    </w:p>
    <w:p>
      <w:pPr>
        <w:pStyle w:val="Heading1"/>
        <w:keepNext/>
      </w:pPr>
      <w:r>
        <w:rPr>
          <w:rFonts w:ascii="Aptos" w:hAnsi="Aptos"/>
          <w:b/>
          <w:color w:val="000000"/>
          <w:sz w:val="30"/>
        </w:rPr>
        <w:t>3  Primary Research Question</w:t>
      </w:r>
    </w:p>
    <w:p>
      <w:pPr>
        <w:spacing w:after="160"/>
        <w:ind w:left="317" w:right="317"/>
      </w:pPr>
      <w:r>
        <w:rPr>
          <w:rFonts w:ascii="Aptos" w:hAnsi="Aptos"/>
          <w:b/>
          <w:color w:val="000000"/>
          <w:sz w:val="22"/>
        </w:rPr>
        <w:t>Under which patterns and rates of network change does a hysteresis-aware adaptive DNN partitioning policy reduce P95 inference latency and SLO violations relative to edge-only, cloud-only, fixed-split, and greedy adaptive baselines without excessive repartitioning overhead?</w:t>
      </w:r>
    </w:p>
    <w:p>
      <w:pPr>
        <w:pStyle w:val="Heading1"/>
        <w:keepNext/>
      </w:pPr>
      <w:r>
        <w:rPr>
          <w:rFonts w:ascii="Aptos" w:hAnsi="Aptos"/>
          <w:b/>
          <w:color w:val="000000"/>
          <w:sz w:val="30"/>
        </w:rPr>
        <w:t>4  Research Objectives</w:t>
      </w:r>
    </w:p>
    <w:p>
      <w:pPr>
        <w:pStyle w:val="ListNumber"/>
        <w:spacing w:after="100" w:line="259" w:lineRule="auto"/>
      </w:pPr>
      <w:r>
        <w:rPr>
          <w:rFonts w:ascii="Aptos" w:hAnsi="Aptos"/>
          <w:color w:val="000000"/>
          <w:sz w:val="20"/>
        </w:rPr>
        <w:t>Build a reproducible edge-cloud split-inference testbed for two image-classification DNNs and expose candidate partition points at model stage boundaries.</w:t>
      </w:r>
    </w:p>
    <w:p>
      <w:pPr>
        <w:pStyle w:val="ListNumber"/>
        <w:spacing w:after="100" w:line="259" w:lineRule="auto"/>
      </w:pPr>
      <w:r>
        <w:rPr>
          <w:rFonts w:ascii="Aptos" w:hAnsi="Aptos"/>
          <w:color w:val="000000"/>
          <w:sz w:val="20"/>
        </w:rPr>
        <w:t>Measure how steady, step-change, bursty, and periodic network conditions alter the best execution location and split point.</w:t>
      </w:r>
    </w:p>
    <w:p>
      <w:pPr>
        <w:pStyle w:val="ListNumber"/>
        <w:spacing w:after="100" w:line="259" w:lineRule="auto"/>
      </w:pPr>
      <w:r>
        <w:rPr>
          <w:rFonts w:ascii="Aptos" w:hAnsi="Aptos"/>
          <w:color w:val="000000"/>
          <w:sz w:val="20"/>
        </w:rPr>
        <w:t>Design a lightweight hysteresis-aware policy that changes the split only when predicted benefit exceeds a configurable threshold for a minimum dwell period.</w:t>
      </w:r>
    </w:p>
    <w:p>
      <w:pPr>
        <w:pStyle w:val="ListNumber"/>
        <w:spacing w:after="100" w:line="259" w:lineRule="auto"/>
      </w:pPr>
      <w:r>
        <w:rPr>
          <w:rFonts w:ascii="Aptos" w:hAnsi="Aptos"/>
          <w:color w:val="000000"/>
          <w:sz w:val="20"/>
        </w:rPr>
        <w:t>Compare all policies using latency distributions, SLO violations, throughput, transmitted data, adaptation delay, switching rate, and controller overhead with repeated runs and uncertainty intervals.</w:t>
      </w:r>
    </w:p>
    <w:p>
      <w:r>
        <w:br w:type="page"/>
      </w:r>
    </w:p>
    <w:p>
      <w:pPr>
        <w:pStyle w:val="Heading1"/>
        <w:keepNext/>
      </w:pPr>
      <w:r>
        <w:rPr>
          <w:rFonts w:ascii="Aptos" w:hAnsi="Aptos"/>
          <w:b/>
          <w:color w:val="000000"/>
          <w:sz w:val="30"/>
        </w:rPr>
        <w:t>5  Proposed Methodology</w:t>
      </w:r>
    </w:p>
    <w:p>
      <w:pPr>
        <w:pStyle w:val="Heading2"/>
        <w:keepNext/>
      </w:pPr>
      <w:r>
        <w:rPr>
          <w:rFonts w:ascii="Aptos" w:hAnsi="Aptos"/>
          <w:b/>
          <w:color w:val="000000"/>
          <w:sz w:val="23"/>
        </w:rPr>
        <w:t>5.1  Research Design</w:t>
      </w:r>
    </w:p>
    <w:p>
      <w:pPr>
        <w:spacing w:after="140" w:line="269" w:lineRule="auto"/>
      </w:pPr>
      <w:r>
        <w:rPr>
          <w:rFonts w:ascii="Aptos" w:hAnsi="Aptos"/>
          <w:color w:val="000000"/>
          <w:sz w:val="21"/>
        </w:rPr>
        <w:t>The study will use a controlled, repeated-measures experimental design. Each execution policy will process the same request traces under the same emulated network profile. Independent variables will be policy, DNN model, network pattern, network severity, and edge compute load. Dependent variables will be the metrics defined in Section 6.</w:t>
      </w:r>
    </w:p>
    <w:p>
      <w:pPr>
        <w:pStyle w:val="Heading2"/>
        <w:keepNext/>
      </w:pPr>
      <w:r>
        <w:rPr>
          <w:rFonts w:ascii="Aptos" w:hAnsi="Aptos"/>
          <w:b/>
          <w:color w:val="000000"/>
          <w:sz w:val="23"/>
        </w:rPr>
        <w:t>5.2  Testbed and Workload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88"/>
            <w:shd w:fill="17365D"/>
            <w:vAlign w:val="center"/>
            <w:tcMar>
              <w:top w:w="110" w:type="dxa"/>
              <w:start w:w="130" w:type="dxa"/>
              <w:bottom w:w="110" w:type="dxa"/>
              <w:end w:w="130" w:type="dxa"/>
            </w:tcMar>
          </w:tcPr>
          <w:p>
            <w:pPr>
              <w:spacing w:after="0"/>
              <w:jc w:val="left"/>
            </w:pPr>
            <w:r>
              <w:rPr>
                <w:rFonts w:ascii="Aptos" w:hAnsi="Aptos"/>
                <w:b/>
                <w:color w:val="FFFFFF"/>
                <w:sz w:val="18"/>
              </w:rPr>
              <w:t>Element</w:t>
            </w:r>
          </w:p>
        </w:tc>
        <w:tc>
          <w:tcPr>
            <w:tcW w:type="dxa" w:w="7560"/>
            <w:shd w:fill="17365D"/>
            <w:vAlign w:val="center"/>
            <w:tcMar>
              <w:top w:w="110" w:type="dxa"/>
              <w:start w:w="130" w:type="dxa"/>
              <w:bottom w:w="110" w:type="dxa"/>
              <w:end w:w="130" w:type="dxa"/>
            </w:tcMar>
          </w:tcPr>
          <w:p>
            <w:pPr>
              <w:spacing w:after="0"/>
              <w:jc w:val="left"/>
            </w:pPr>
            <w:r>
              <w:rPr>
                <w:rFonts w:ascii="Aptos" w:hAnsi="Aptos"/>
                <w:b/>
                <w:color w:val="FFFFFF"/>
                <w:sz w:val="18"/>
              </w:rPr>
              <w:t>Planned implementation</w:t>
            </w:r>
          </w:p>
        </w:tc>
      </w:tr>
      <w:tr>
        <w:tc>
          <w:tcPr>
            <w:tcW w:type="dxa" w:w="2088"/>
            <w:vAlign w:val="center"/>
            <w:tcMar>
              <w:top w:w="110" w:type="dxa"/>
              <w:start w:w="130" w:type="dxa"/>
              <w:bottom w:w="110" w:type="dxa"/>
              <w:end w:w="130" w:type="dxa"/>
            </w:tcMar>
          </w:tcPr>
          <w:p>
            <w:pPr>
              <w:spacing w:after="0" w:line="250" w:lineRule="auto"/>
            </w:pPr>
            <w:r>
              <w:rPr>
                <w:rFonts w:ascii="Aptos" w:hAnsi="Aptos"/>
                <w:color w:val="000000"/>
                <w:sz w:val="18"/>
              </w:rPr>
              <w:t>Edge node</w:t>
            </w:r>
          </w:p>
        </w:tc>
        <w:tc>
          <w:tcPr>
            <w:tcW w:type="dxa" w:w="7560"/>
            <w:vAlign w:val="center"/>
            <w:tcMar>
              <w:top w:w="110" w:type="dxa"/>
              <w:start w:w="130" w:type="dxa"/>
              <w:bottom w:w="110" w:type="dxa"/>
              <w:end w:w="130" w:type="dxa"/>
            </w:tcMar>
          </w:tcPr>
          <w:p>
            <w:pPr>
              <w:spacing w:after="0" w:line="250" w:lineRule="auto"/>
            </w:pPr>
            <w:r>
              <w:rPr>
                <w:rFonts w:ascii="Aptos" w:hAnsi="Aptos"/>
                <w:color w:val="000000"/>
                <w:sz w:val="18"/>
              </w:rPr>
              <w:t>Resource-limited Linux device or Docker container with fixed CPU and memory limits</w:t>
            </w:r>
          </w:p>
        </w:tc>
      </w:tr>
      <w:tr>
        <w:tc>
          <w:tcPr>
            <w:tcW w:type="dxa" w:w="2088"/>
            <w:shd w:fill="EAF1F8"/>
            <w:vAlign w:val="center"/>
            <w:tcMar>
              <w:top w:w="110" w:type="dxa"/>
              <w:start w:w="130" w:type="dxa"/>
              <w:bottom w:w="110" w:type="dxa"/>
              <w:end w:w="130" w:type="dxa"/>
            </w:tcMar>
          </w:tcPr>
          <w:p>
            <w:pPr>
              <w:spacing w:after="0" w:line="250" w:lineRule="auto"/>
            </w:pPr>
            <w:r>
              <w:rPr>
                <w:rFonts w:ascii="Aptos" w:hAnsi="Aptos"/>
                <w:color w:val="000000"/>
                <w:sz w:val="18"/>
              </w:rPr>
              <w:t>Cloud node</w:t>
            </w:r>
          </w:p>
        </w:tc>
        <w:tc>
          <w:tcPr>
            <w:tcW w:type="dxa" w:w="7560"/>
            <w:shd w:fill="EAF1F8"/>
            <w:vAlign w:val="center"/>
            <w:tcMar>
              <w:top w:w="110" w:type="dxa"/>
              <w:start w:w="130" w:type="dxa"/>
              <w:bottom w:w="110" w:type="dxa"/>
              <w:end w:w="130" w:type="dxa"/>
            </w:tcMar>
          </w:tcPr>
          <w:p>
            <w:pPr>
              <w:spacing w:after="0" w:line="250" w:lineRule="auto"/>
            </w:pPr>
            <w:r>
              <w:rPr>
                <w:rFonts w:ascii="Aptos" w:hAnsi="Aptos"/>
                <w:color w:val="000000"/>
                <w:sz w:val="18"/>
              </w:rPr>
              <w:t>Linux cloud VM or a separately constrained server container running the remaining model stages</w:t>
            </w:r>
          </w:p>
        </w:tc>
      </w:tr>
      <w:tr>
        <w:tc>
          <w:tcPr>
            <w:tcW w:type="dxa" w:w="2088"/>
            <w:vAlign w:val="center"/>
            <w:tcMar>
              <w:top w:w="110" w:type="dxa"/>
              <w:start w:w="130" w:type="dxa"/>
              <w:bottom w:w="110" w:type="dxa"/>
              <w:end w:w="130" w:type="dxa"/>
            </w:tcMar>
          </w:tcPr>
          <w:p>
            <w:pPr>
              <w:spacing w:after="0" w:line="250" w:lineRule="auto"/>
            </w:pPr>
            <w:r>
              <w:rPr>
                <w:rFonts w:ascii="Aptos" w:hAnsi="Aptos"/>
                <w:color w:val="000000"/>
                <w:sz w:val="18"/>
              </w:rPr>
              <w:t>Software</w:t>
            </w:r>
          </w:p>
        </w:tc>
        <w:tc>
          <w:tcPr>
            <w:tcW w:type="dxa" w:w="7560"/>
            <w:vAlign w:val="center"/>
            <w:tcMar>
              <w:top w:w="110" w:type="dxa"/>
              <w:start w:w="130" w:type="dxa"/>
              <w:bottom w:w="110" w:type="dxa"/>
              <w:end w:w="130" w:type="dxa"/>
            </w:tcMar>
          </w:tcPr>
          <w:p>
            <w:pPr>
              <w:spacing w:after="0" w:line="250" w:lineRule="auto"/>
            </w:pPr>
            <w:r>
              <w:rPr>
                <w:rFonts w:ascii="Aptos" w:hAnsi="Aptos"/>
                <w:color w:val="000000"/>
                <w:sz w:val="18"/>
              </w:rPr>
              <w:t>Python, PyTorch, Docker, a small HTTP or gRPC inference service, and Linux traffic control for network emulation</w:t>
            </w:r>
          </w:p>
        </w:tc>
      </w:tr>
      <w:tr>
        <w:tc>
          <w:tcPr>
            <w:tcW w:type="dxa" w:w="2088"/>
            <w:shd w:fill="EAF1F8"/>
            <w:vAlign w:val="center"/>
            <w:tcMar>
              <w:top w:w="110" w:type="dxa"/>
              <w:start w:w="130" w:type="dxa"/>
              <w:bottom w:w="110" w:type="dxa"/>
              <w:end w:w="130" w:type="dxa"/>
            </w:tcMar>
          </w:tcPr>
          <w:p>
            <w:pPr>
              <w:spacing w:after="0" w:line="250" w:lineRule="auto"/>
            </w:pPr>
            <w:r>
              <w:rPr>
                <w:rFonts w:ascii="Aptos" w:hAnsi="Aptos"/>
                <w:color w:val="000000"/>
                <w:sz w:val="18"/>
              </w:rPr>
              <w:t>Models</w:t>
            </w:r>
          </w:p>
        </w:tc>
        <w:tc>
          <w:tcPr>
            <w:tcW w:type="dxa" w:w="7560"/>
            <w:shd w:fill="EAF1F8"/>
            <w:vAlign w:val="center"/>
            <w:tcMar>
              <w:top w:w="110" w:type="dxa"/>
              <w:start w:w="130" w:type="dxa"/>
              <w:bottom w:w="110" w:type="dxa"/>
              <w:end w:w="130" w:type="dxa"/>
            </w:tcMar>
          </w:tcPr>
          <w:p>
            <w:pPr>
              <w:spacing w:after="0" w:line="250" w:lineRule="auto"/>
            </w:pPr>
            <w:r>
              <w:rPr>
                <w:rFonts w:ascii="Aptos" w:hAnsi="Aptos"/>
                <w:color w:val="000000"/>
                <w:sz w:val="18"/>
              </w:rPr>
              <w:t>MobileNetV2 and ResNet18 adapted for CIFAR-10; candidate splits placed at major stage boundaries</w:t>
            </w:r>
          </w:p>
        </w:tc>
      </w:tr>
      <w:tr>
        <w:tc>
          <w:tcPr>
            <w:tcW w:type="dxa" w:w="2088"/>
            <w:vAlign w:val="center"/>
            <w:tcMar>
              <w:top w:w="110" w:type="dxa"/>
              <w:start w:w="130" w:type="dxa"/>
              <w:bottom w:w="110" w:type="dxa"/>
              <w:end w:w="130" w:type="dxa"/>
            </w:tcMar>
          </w:tcPr>
          <w:p>
            <w:pPr>
              <w:spacing w:after="0" w:line="250" w:lineRule="auto"/>
            </w:pPr>
            <w:r>
              <w:rPr>
                <w:rFonts w:ascii="Aptos" w:hAnsi="Aptos"/>
                <w:color w:val="000000"/>
                <w:sz w:val="18"/>
              </w:rPr>
              <w:t>Dataset</w:t>
            </w:r>
          </w:p>
        </w:tc>
        <w:tc>
          <w:tcPr>
            <w:tcW w:type="dxa" w:w="7560"/>
            <w:vAlign w:val="center"/>
            <w:tcMar>
              <w:top w:w="110" w:type="dxa"/>
              <w:start w:w="130" w:type="dxa"/>
              <w:bottom w:w="110" w:type="dxa"/>
              <w:end w:w="130" w:type="dxa"/>
            </w:tcMar>
          </w:tcPr>
          <w:p>
            <w:pPr>
              <w:spacing w:after="0" w:line="250" w:lineRule="auto"/>
            </w:pPr>
            <w:r>
              <w:rPr>
                <w:rFonts w:ascii="Aptos" w:hAnsi="Aptos"/>
                <w:color w:val="000000"/>
                <w:sz w:val="18"/>
              </w:rPr>
              <w:t>CIFAR-10 test images replayed as a deterministic request stream; labels used only for correctness checks</w:t>
            </w:r>
          </w:p>
        </w:tc>
      </w:tr>
      <w:tr>
        <w:tc>
          <w:tcPr>
            <w:tcW w:type="dxa" w:w="2088"/>
            <w:shd w:fill="EAF1F8"/>
            <w:vAlign w:val="center"/>
            <w:tcMar>
              <w:top w:w="110" w:type="dxa"/>
              <w:start w:w="130" w:type="dxa"/>
              <w:bottom w:w="110" w:type="dxa"/>
              <w:end w:w="130" w:type="dxa"/>
            </w:tcMar>
          </w:tcPr>
          <w:p>
            <w:pPr>
              <w:spacing w:after="0" w:line="250" w:lineRule="auto"/>
            </w:pPr>
            <w:r>
              <w:rPr>
                <w:rFonts w:ascii="Aptos" w:hAnsi="Aptos"/>
                <w:color w:val="000000"/>
                <w:sz w:val="18"/>
              </w:rPr>
              <w:t>Request trace</w:t>
            </w:r>
          </w:p>
        </w:tc>
        <w:tc>
          <w:tcPr>
            <w:tcW w:type="dxa" w:w="7560"/>
            <w:shd w:fill="EAF1F8"/>
            <w:vAlign w:val="center"/>
            <w:tcMar>
              <w:top w:w="110" w:type="dxa"/>
              <w:start w:w="130" w:type="dxa"/>
              <w:bottom w:w="110" w:type="dxa"/>
              <w:end w:w="130" w:type="dxa"/>
            </w:tcMar>
          </w:tcPr>
          <w:p>
            <w:pPr>
              <w:spacing w:after="0" w:line="250" w:lineRule="auto"/>
            </w:pPr>
            <w:r>
              <w:rPr>
                <w:rFonts w:ascii="Aptos" w:hAnsi="Aptos"/>
                <w:color w:val="000000"/>
                <w:sz w:val="18"/>
              </w:rPr>
              <w:t>Constant-rate requests plus short bursts; fixed seeds and timestamped configuration files</w:t>
            </w:r>
          </w:p>
        </w:tc>
      </w:tr>
    </w:tbl>
    <w:p>
      <w:pPr>
        <w:spacing w:after="20"/>
      </w:pPr>
    </w:p>
    <w:p>
      <w:pPr>
        <w:pStyle w:val="Heading2"/>
        <w:keepNext/>
      </w:pPr>
      <w:r>
        <w:rPr>
          <w:rFonts w:ascii="Aptos" w:hAnsi="Aptos"/>
          <w:b/>
          <w:color w:val="000000"/>
          <w:sz w:val="23"/>
        </w:rPr>
        <w:t>5.3  Policies and Baselines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7365D"/>
            <w:vAlign w:val="center"/>
            <w:tcMar>
              <w:top w:w="110" w:type="dxa"/>
              <w:start w:w="130" w:type="dxa"/>
              <w:bottom w:w="110" w:type="dxa"/>
              <w:end w:w="130" w:type="dxa"/>
            </w:tcMar>
          </w:tcPr>
          <w:p>
            <w:pPr>
              <w:spacing w:after="0"/>
              <w:jc w:val="left"/>
            </w:pPr>
            <w:r>
              <w:rPr>
                <w:rFonts w:ascii="Aptos" w:hAnsi="Aptos"/>
                <w:b/>
                <w:color w:val="FFFFFF"/>
                <w:sz w:val="18"/>
              </w:rPr>
              <w:t>Policy</w:t>
            </w:r>
          </w:p>
        </w:tc>
        <w:tc>
          <w:tcPr>
            <w:tcW w:type="dxa" w:w="2232"/>
            <w:shd w:fill="17365D"/>
            <w:vAlign w:val="center"/>
            <w:tcMar>
              <w:top w:w="110" w:type="dxa"/>
              <w:start w:w="130" w:type="dxa"/>
              <w:bottom w:w="110" w:type="dxa"/>
              <w:end w:w="130" w:type="dxa"/>
            </w:tcMar>
          </w:tcPr>
          <w:p>
            <w:pPr>
              <w:spacing w:after="0"/>
              <w:jc w:val="left"/>
            </w:pPr>
            <w:r>
              <w:rPr>
                <w:rFonts w:ascii="Aptos" w:hAnsi="Aptos"/>
                <w:b/>
                <w:color w:val="FFFFFF"/>
                <w:sz w:val="18"/>
              </w:rPr>
              <w:t>Purpose</w:t>
            </w:r>
          </w:p>
        </w:tc>
        <w:tc>
          <w:tcPr>
            <w:tcW w:type="dxa" w:w="5616"/>
            <w:shd w:fill="17365D"/>
            <w:vAlign w:val="center"/>
            <w:tcMar>
              <w:top w:w="110" w:type="dxa"/>
              <w:start w:w="130" w:type="dxa"/>
              <w:bottom w:w="110" w:type="dxa"/>
              <w:end w:w="130" w:type="dxa"/>
            </w:tcMar>
          </w:tcPr>
          <w:p>
            <w:pPr>
              <w:spacing w:after="0"/>
              <w:jc w:val="left"/>
            </w:pPr>
            <w:r>
              <w:rPr>
                <w:rFonts w:ascii="Aptos" w:hAnsi="Aptos"/>
                <w:b/>
                <w:color w:val="FFFFFF"/>
                <w:sz w:val="18"/>
              </w:rPr>
              <w:t>Decision rule</w:t>
            </w:r>
          </w:p>
        </w:tc>
      </w:tr>
      <w:tr>
        <w:tc>
          <w:tcPr>
            <w:tcW w:type="dxa" w:w="1800"/>
            <w:vAlign w:val="center"/>
            <w:tcMar>
              <w:top w:w="110" w:type="dxa"/>
              <w:start w:w="130" w:type="dxa"/>
              <w:bottom w:w="110" w:type="dxa"/>
              <w:end w:w="130" w:type="dxa"/>
            </w:tcMar>
          </w:tcPr>
          <w:p>
            <w:pPr>
              <w:spacing w:after="0" w:line="250" w:lineRule="auto"/>
            </w:pPr>
            <w:r>
              <w:rPr>
                <w:rFonts w:ascii="Aptos" w:hAnsi="Aptos"/>
                <w:color w:val="000000"/>
                <w:sz w:val="17"/>
              </w:rPr>
              <w:t>Edge only</w:t>
            </w:r>
          </w:p>
        </w:tc>
        <w:tc>
          <w:tcPr>
            <w:tcW w:type="dxa" w:w="2232"/>
            <w:vAlign w:val="center"/>
            <w:tcMar>
              <w:top w:w="110" w:type="dxa"/>
              <w:start w:w="130" w:type="dxa"/>
              <w:bottom w:w="110" w:type="dxa"/>
              <w:end w:w="130" w:type="dxa"/>
            </w:tcMar>
          </w:tcPr>
          <w:p>
            <w:pPr>
              <w:spacing w:after="0" w:line="250" w:lineRule="auto"/>
            </w:pPr>
            <w:r>
              <w:rPr>
                <w:rFonts w:ascii="Aptos" w:hAnsi="Aptos"/>
                <w:color w:val="000000"/>
                <w:sz w:val="17"/>
              </w:rPr>
              <w:t>Local baseline</w:t>
            </w:r>
          </w:p>
        </w:tc>
        <w:tc>
          <w:tcPr>
            <w:tcW w:type="dxa" w:w="5616"/>
            <w:vAlign w:val="center"/>
            <w:tcMar>
              <w:top w:w="110" w:type="dxa"/>
              <w:start w:w="130" w:type="dxa"/>
              <w:bottom w:w="110" w:type="dxa"/>
              <w:end w:w="130" w:type="dxa"/>
            </w:tcMar>
          </w:tcPr>
          <w:p>
            <w:pPr>
              <w:spacing w:after="0" w:line="250" w:lineRule="auto"/>
            </w:pPr>
            <w:r>
              <w:rPr>
                <w:rFonts w:ascii="Aptos" w:hAnsi="Aptos"/>
                <w:color w:val="000000"/>
                <w:sz w:val="17"/>
              </w:rPr>
              <w:t>All layers execute on the edge node</w:t>
            </w:r>
          </w:p>
        </w:tc>
      </w:tr>
      <w:tr>
        <w:tc>
          <w:tcPr>
            <w:tcW w:type="dxa" w:w="1800"/>
            <w:shd w:fill="EAF1F8"/>
            <w:vAlign w:val="center"/>
            <w:tcMar>
              <w:top w:w="110" w:type="dxa"/>
              <w:start w:w="130" w:type="dxa"/>
              <w:bottom w:w="110" w:type="dxa"/>
              <w:end w:w="130" w:type="dxa"/>
            </w:tcMar>
          </w:tcPr>
          <w:p>
            <w:pPr>
              <w:spacing w:after="0" w:line="250" w:lineRule="auto"/>
            </w:pPr>
            <w:r>
              <w:rPr>
                <w:rFonts w:ascii="Aptos" w:hAnsi="Aptos"/>
                <w:color w:val="000000"/>
                <w:sz w:val="17"/>
              </w:rPr>
              <w:t>Cloud only</w:t>
            </w:r>
          </w:p>
        </w:tc>
        <w:tc>
          <w:tcPr>
            <w:tcW w:type="dxa" w:w="2232"/>
            <w:shd w:fill="EAF1F8"/>
            <w:vAlign w:val="center"/>
            <w:tcMar>
              <w:top w:w="110" w:type="dxa"/>
              <w:start w:w="130" w:type="dxa"/>
              <w:bottom w:w="110" w:type="dxa"/>
              <w:end w:w="130" w:type="dxa"/>
            </w:tcMar>
          </w:tcPr>
          <w:p>
            <w:pPr>
              <w:spacing w:after="0" w:line="250" w:lineRule="auto"/>
            </w:pPr>
            <w:r>
              <w:rPr>
                <w:rFonts w:ascii="Aptos" w:hAnsi="Aptos"/>
                <w:color w:val="000000"/>
                <w:sz w:val="17"/>
              </w:rPr>
              <w:t>Remote baseline</w:t>
            </w:r>
          </w:p>
        </w:tc>
        <w:tc>
          <w:tcPr>
            <w:tcW w:type="dxa" w:w="5616"/>
            <w:shd w:fill="EAF1F8"/>
            <w:vAlign w:val="center"/>
            <w:tcMar>
              <w:top w:w="110" w:type="dxa"/>
              <w:start w:w="130" w:type="dxa"/>
              <w:bottom w:w="110" w:type="dxa"/>
              <w:end w:w="130" w:type="dxa"/>
            </w:tcMar>
          </w:tcPr>
          <w:p>
            <w:pPr>
              <w:spacing w:after="0" w:line="250" w:lineRule="auto"/>
            </w:pPr>
            <w:r>
              <w:rPr>
                <w:rFonts w:ascii="Aptos" w:hAnsi="Aptos"/>
                <w:color w:val="000000"/>
                <w:sz w:val="17"/>
              </w:rPr>
              <w:t>Input is transmitted and all layers execute in the cloud</w:t>
            </w:r>
          </w:p>
        </w:tc>
      </w:tr>
      <w:tr>
        <w:tc>
          <w:tcPr>
            <w:tcW w:type="dxa" w:w="1800"/>
            <w:vAlign w:val="center"/>
            <w:tcMar>
              <w:top w:w="110" w:type="dxa"/>
              <w:start w:w="130" w:type="dxa"/>
              <w:bottom w:w="110" w:type="dxa"/>
              <w:end w:w="130" w:type="dxa"/>
            </w:tcMar>
          </w:tcPr>
          <w:p>
            <w:pPr>
              <w:spacing w:after="0" w:line="250" w:lineRule="auto"/>
            </w:pPr>
            <w:r>
              <w:rPr>
                <w:rFonts w:ascii="Aptos" w:hAnsi="Aptos"/>
                <w:color w:val="000000"/>
                <w:sz w:val="17"/>
              </w:rPr>
              <w:t>Fixed split</w:t>
            </w:r>
          </w:p>
        </w:tc>
        <w:tc>
          <w:tcPr>
            <w:tcW w:type="dxa" w:w="2232"/>
            <w:vAlign w:val="center"/>
            <w:tcMar>
              <w:top w:w="110" w:type="dxa"/>
              <w:start w:w="130" w:type="dxa"/>
              <w:bottom w:w="110" w:type="dxa"/>
              <w:end w:w="130" w:type="dxa"/>
            </w:tcMar>
          </w:tcPr>
          <w:p>
            <w:pPr>
              <w:spacing w:after="0" w:line="250" w:lineRule="auto"/>
            </w:pPr>
            <w:r>
              <w:rPr>
                <w:rFonts w:ascii="Aptos" w:hAnsi="Aptos"/>
                <w:color w:val="000000"/>
                <w:sz w:val="17"/>
              </w:rPr>
              <w:t>Static partition baseline</w:t>
            </w:r>
          </w:p>
        </w:tc>
        <w:tc>
          <w:tcPr>
            <w:tcW w:type="dxa" w:w="5616"/>
            <w:vAlign w:val="center"/>
            <w:tcMar>
              <w:top w:w="110" w:type="dxa"/>
              <w:start w:w="130" w:type="dxa"/>
              <w:bottom w:w="110" w:type="dxa"/>
              <w:end w:w="130" w:type="dxa"/>
            </w:tcMar>
          </w:tcPr>
          <w:p>
            <w:pPr>
              <w:spacing w:after="0" w:line="250" w:lineRule="auto"/>
            </w:pPr>
            <w:r>
              <w:rPr>
                <w:rFonts w:ascii="Aptos" w:hAnsi="Aptos"/>
                <w:color w:val="000000"/>
                <w:sz w:val="17"/>
              </w:rPr>
              <w:t>One offline-selected split remains unchanged during a run</w:t>
            </w:r>
          </w:p>
        </w:tc>
      </w:tr>
      <w:tr>
        <w:tc>
          <w:tcPr>
            <w:tcW w:type="dxa" w:w="1800"/>
            <w:shd w:fill="EAF1F8"/>
            <w:vAlign w:val="center"/>
            <w:tcMar>
              <w:top w:w="110" w:type="dxa"/>
              <w:start w:w="130" w:type="dxa"/>
              <w:bottom w:w="110" w:type="dxa"/>
              <w:end w:w="130" w:type="dxa"/>
            </w:tcMar>
          </w:tcPr>
          <w:p>
            <w:pPr>
              <w:spacing w:after="0" w:line="250" w:lineRule="auto"/>
            </w:pPr>
            <w:r>
              <w:rPr>
                <w:rFonts w:ascii="Aptos" w:hAnsi="Aptos"/>
                <w:color w:val="000000"/>
                <w:sz w:val="17"/>
              </w:rPr>
              <w:t>Greedy adaptive</w:t>
            </w:r>
          </w:p>
        </w:tc>
        <w:tc>
          <w:tcPr>
            <w:tcW w:type="dxa" w:w="2232"/>
            <w:shd w:fill="EAF1F8"/>
            <w:vAlign w:val="center"/>
            <w:tcMar>
              <w:top w:w="110" w:type="dxa"/>
              <w:start w:w="130" w:type="dxa"/>
              <w:bottom w:w="110" w:type="dxa"/>
              <w:end w:w="130" w:type="dxa"/>
            </w:tcMar>
          </w:tcPr>
          <w:p>
            <w:pPr>
              <w:spacing w:after="0" w:line="250" w:lineRule="auto"/>
            </w:pPr>
            <w:r>
              <w:rPr>
                <w:rFonts w:ascii="Aptos" w:hAnsi="Aptos"/>
                <w:color w:val="000000"/>
                <w:sz w:val="17"/>
              </w:rPr>
              <w:t>Dynamic baseline</w:t>
            </w:r>
          </w:p>
        </w:tc>
        <w:tc>
          <w:tcPr>
            <w:tcW w:type="dxa" w:w="5616"/>
            <w:shd w:fill="EAF1F8"/>
            <w:vAlign w:val="center"/>
            <w:tcMar>
              <w:top w:w="110" w:type="dxa"/>
              <w:start w:w="130" w:type="dxa"/>
              <w:bottom w:w="110" w:type="dxa"/>
              <w:end w:w="130" w:type="dxa"/>
            </w:tcMar>
          </w:tcPr>
          <w:p>
            <w:pPr>
              <w:spacing w:after="0" w:line="250" w:lineRule="auto"/>
            </w:pPr>
            <w:r>
              <w:rPr>
                <w:rFonts w:ascii="Aptos" w:hAnsi="Aptos"/>
                <w:color w:val="000000"/>
                <w:sz w:val="17"/>
              </w:rPr>
              <w:t>Choose the currently predicted lowest-latency split at every decision interval</w:t>
            </w:r>
          </w:p>
        </w:tc>
      </w:tr>
      <w:tr>
        <w:tc>
          <w:tcPr>
            <w:tcW w:type="dxa" w:w="1800"/>
            <w:vAlign w:val="center"/>
            <w:tcMar>
              <w:top w:w="110" w:type="dxa"/>
              <w:start w:w="130" w:type="dxa"/>
              <w:bottom w:w="110" w:type="dxa"/>
              <w:end w:w="130" w:type="dxa"/>
            </w:tcMar>
          </w:tcPr>
          <w:p>
            <w:pPr>
              <w:spacing w:after="0" w:line="250" w:lineRule="auto"/>
            </w:pPr>
            <w:r>
              <w:rPr>
                <w:rFonts w:ascii="Aptos" w:hAnsi="Aptos"/>
                <w:color w:val="000000"/>
                <w:sz w:val="17"/>
              </w:rPr>
              <w:t>Hysteresis aware</w:t>
            </w:r>
          </w:p>
        </w:tc>
        <w:tc>
          <w:tcPr>
            <w:tcW w:type="dxa" w:w="2232"/>
            <w:vAlign w:val="center"/>
            <w:tcMar>
              <w:top w:w="110" w:type="dxa"/>
              <w:start w:w="130" w:type="dxa"/>
              <w:bottom w:w="110" w:type="dxa"/>
              <w:end w:w="130" w:type="dxa"/>
            </w:tcMar>
          </w:tcPr>
          <w:p>
            <w:pPr>
              <w:spacing w:after="0" w:line="250" w:lineRule="auto"/>
            </w:pPr>
            <w:r>
              <w:rPr>
                <w:rFonts w:ascii="Aptos" w:hAnsi="Aptos"/>
                <w:color w:val="000000"/>
                <w:sz w:val="17"/>
              </w:rPr>
              <w:t>Proposed policy</w:t>
            </w:r>
          </w:p>
        </w:tc>
        <w:tc>
          <w:tcPr>
            <w:tcW w:type="dxa" w:w="5616"/>
            <w:vAlign w:val="center"/>
            <w:tcMar>
              <w:top w:w="110" w:type="dxa"/>
              <w:start w:w="130" w:type="dxa"/>
              <w:bottom w:w="110" w:type="dxa"/>
              <w:end w:w="130" w:type="dxa"/>
            </w:tcMar>
          </w:tcPr>
          <w:p>
            <w:pPr>
              <w:spacing w:after="0" w:line="250" w:lineRule="auto"/>
            </w:pPr>
            <w:r>
              <w:rPr>
                <w:rFonts w:ascii="Aptos" w:hAnsi="Aptos"/>
                <w:color w:val="000000"/>
                <w:sz w:val="17"/>
              </w:rPr>
              <w:t>Switch only after improvement exceeds threshold H for K consecutive intervals and minimum dwell time D has elapsed</w:t>
            </w:r>
          </w:p>
        </w:tc>
      </w:tr>
    </w:tbl>
    <w:p>
      <w:pPr>
        <w:spacing w:after="20"/>
      </w:pPr>
    </w:p>
    <w:p>
      <w:r>
        <w:br w:type="page"/>
      </w:r>
    </w:p>
    <w:p>
      <w:pPr>
        <w:pStyle w:val="Heading2"/>
        <w:keepNext/>
      </w:pPr>
      <w:r>
        <w:rPr>
          <w:rFonts w:ascii="Aptos" w:hAnsi="Aptos"/>
          <w:b/>
          <w:color w:val="000000"/>
          <w:sz w:val="23"/>
        </w:rPr>
        <w:t>5.4  Network Scenarios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728"/>
            <w:shd w:fill="17365D"/>
            <w:vAlign w:val="center"/>
            <w:tcMar>
              <w:top w:w="110" w:type="dxa"/>
              <w:start w:w="130" w:type="dxa"/>
              <w:bottom w:w="110" w:type="dxa"/>
              <w:end w:w="130" w:type="dxa"/>
            </w:tcMar>
          </w:tcPr>
          <w:p>
            <w:pPr>
              <w:spacing w:after="0"/>
              <w:jc w:val="left"/>
            </w:pPr>
            <w:r>
              <w:rPr>
                <w:rFonts w:ascii="Aptos" w:hAnsi="Aptos"/>
                <w:b/>
                <w:color w:val="FFFFFF"/>
                <w:sz w:val="18"/>
              </w:rPr>
              <w:t>Scenario</w:t>
            </w:r>
          </w:p>
        </w:tc>
        <w:tc>
          <w:tcPr>
            <w:tcW w:type="dxa" w:w="2304"/>
            <w:shd w:fill="17365D"/>
            <w:vAlign w:val="center"/>
            <w:tcMar>
              <w:top w:w="110" w:type="dxa"/>
              <w:start w:w="130" w:type="dxa"/>
              <w:bottom w:w="110" w:type="dxa"/>
              <w:end w:w="130" w:type="dxa"/>
            </w:tcMar>
          </w:tcPr>
          <w:p>
            <w:pPr>
              <w:spacing w:after="0"/>
              <w:jc w:val="left"/>
            </w:pPr>
            <w:r>
              <w:rPr>
                <w:rFonts w:ascii="Aptos" w:hAnsi="Aptos"/>
                <w:b/>
                <w:color w:val="FFFFFF"/>
                <w:sz w:val="18"/>
              </w:rPr>
              <w:t>Pattern</w:t>
            </w:r>
          </w:p>
        </w:tc>
        <w:tc>
          <w:tcPr>
            <w:tcW w:type="dxa" w:w="5616"/>
            <w:shd w:fill="17365D"/>
            <w:vAlign w:val="center"/>
            <w:tcMar>
              <w:top w:w="110" w:type="dxa"/>
              <w:start w:w="130" w:type="dxa"/>
              <w:bottom w:w="110" w:type="dxa"/>
              <w:end w:w="130" w:type="dxa"/>
            </w:tcMar>
          </w:tcPr>
          <w:p>
            <w:pPr>
              <w:spacing w:after="0"/>
              <w:jc w:val="left"/>
            </w:pPr>
            <w:r>
              <w:rPr>
                <w:rFonts w:ascii="Aptos" w:hAnsi="Aptos"/>
                <w:b/>
                <w:color w:val="FFFFFF"/>
                <w:sz w:val="18"/>
              </w:rPr>
              <w:t>Illustrative conditions</w:t>
            </w:r>
          </w:p>
        </w:tc>
      </w:tr>
      <w:tr>
        <w:tc>
          <w:tcPr>
            <w:tcW w:type="dxa" w:w="1728"/>
            <w:vAlign w:val="center"/>
            <w:tcMar>
              <w:top w:w="110" w:type="dxa"/>
              <w:start w:w="130" w:type="dxa"/>
              <w:bottom w:w="110" w:type="dxa"/>
              <w:end w:w="130" w:type="dxa"/>
            </w:tcMar>
          </w:tcPr>
          <w:p>
            <w:pPr>
              <w:spacing w:after="0" w:line="250" w:lineRule="auto"/>
            </w:pPr>
            <w:r>
              <w:rPr>
                <w:rFonts w:ascii="Aptos" w:hAnsi="Aptos"/>
                <w:color w:val="000000"/>
                <w:sz w:val="17"/>
              </w:rPr>
              <w:t>Steady</w:t>
            </w:r>
          </w:p>
        </w:tc>
        <w:tc>
          <w:tcPr>
            <w:tcW w:type="dxa" w:w="2304"/>
            <w:vAlign w:val="center"/>
            <w:tcMar>
              <w:top w:w="110" w:type="dxa"/>
              <w:start w:w="130" w:type="dxa"/>
              <w:bottom w:w="110" w:type="dxa"/>
              <w:end w:w="130" w:type="dxa"/>
            </w:tcMar>
          </w:tcPr>
          <w:p>
            <w:pPr>
              <w:spacing w:after="0" w:line="250" w:lineRule="auto"/>
            </w:pPr>
            <w:r>
              <w:rPr>
                <w:rFonts w:ascii="Aptos" w:hAnsi="Aptos"/>
                <w:color w:val="000000"/>
                <w:sz w:val="17"/>
              </w:rPr>
              <w:t>Stable reference</w:t>
            </w:r>
          </w:p>
        </w:tc>
        <w:tc>
          <w:tcPr>
            <w:tcW w:type="dxa" w:w="5616"/>
            <w:vAlign w:val="center"/>
            <w:tcMar>
              <w:top w:w="110" w:type="dxa"/>
              <w:start w:w="130" w:type="dxa"/>
              <w:bottom w:w="110" w:type="dxa"/>
              <w:end w:w="130" w:type="dxa"/>
            </w:tcMar>
          </w:tcPr>
          <w:p>
            <w:pPr>
              <w:spacing w:after="0" w:line="250" w:lineRule="auto"/>
            </w:pPr>
            <w:r>
              <w:rPr>
                <w:rFonts w:ascii="Aptos" w:hAnsi="Aptos"/>
                <w:color w:val="000000"/>
                <w:sz w:val="17"/>
              </w:rPr>
              <w:t>Low, medium, and high bandwidth with fixed RTT</w:t>
            </w:r>
          </w:p>
        </w:tc>
      </w:tr>
      <w:tr>
        <w:tc>
          <w:tcPr>
            <w:tcW w:type="dxa" w:w="1728"/>
            <w:shd w:fill="EAF1F8"/>
            <w:vAlign w:val="center"/>
            <w:tcMar>
              <w:top w:w="110" w:type="dxa"/>
              <w:start w:w="130" w:type="dxa"/>
              <w:bottom w:w="110" w:type="dxa"/>
              <w:end w:w="130" w:type="dxa"/>
            </w:tcMar>
          </w:tcPr>
          <w:p>
            <w:pPr>
              <w:spacing w:after="0" w:line="250" w:lineRule="auto"/>
            </w:pPr>
            <w:r>
              <w:rPr>
                <w:rFonts w:ascii="Aptos" w:hAnsi="Aptos"/>
                <w:color w:val="000000"/>
                <w:sz w:val="17"/>
              </w:rPr>
              <w:t>Step change</w:t>
            </w:r>
          </w:p>
        </w:tc>
        <w:tc>
          <w:tcPr>
            <w:tcW w:type="dxa" w:w="2304"/>
            <w:shd w:fill="EAF1F8"/>
            <w:vAlign w:val="center"/>
            <w:tcMar>
              <w:top w:w="110" w:type="dxa"/>
              <w:start w:w="130" w:type="dxa"/>
              <w:bottom w:w="110" w:type="dxa"/>
              <w:end w:w="130" w:type="dxa"/>
            </w:tcMar>
          </w:tcPr>
          <w:p>
            <w:pPr>
              <w:spacing w:after="0" w:line="250" w:lineRule="auto"/>
            </w:pPr>
            <w:r>
              <w:rPr>
                <w:rFonts w:ascii="Aptos" w:hAnsi="Aptos"/>
                <w:color w:val="000000"/>
                <w:sz w:val="17"/>
              </w:rPr>
              <w:t>Abrupt transition</w:t>
            </w:r>
          </w:p>
        </w:tc>
        <w:tc>
          <w:tcPr>
            <w:tcW w:type="dxa" w:w="5616"/>
            <w:shd w:fill="EAF1F8"/>
            <w:vAlign w:val="center"/>
            <w:tcMar>
              <w:top w:w="110" w:type="dxa"/>
              <w:start w:w="130" w:type="dxa"/>
              <w:bottom w:w="110" w:type="dxa"/>
              <w:end w:w="130" w:type="dxa"/>
            </w:tcMar>
          </w:tcPr>
          <w:p>
            <w:pPr>
              <w:spacing w:after="0" w:line="250" w:lineRule="auto"/>
            </w:pPr>
            <w:r>
              <w:rPr>
                <w:rFonts w:ascii="Aptos" w:hAnsi="Aptos"/>
                <w:color w:val="000000"/>
                <w:sz w:val="17"/>
              </w:rPr>
              <w:t>Bandwidth or RTT changes once during the run</w:t>
            </w:r>
          </w:p>
        </w:tc>
      </w:tr>
      <w:tr>
        <w:tc>
          <w:tcPr>
            <w:tcW w:type="dxa" w:w="1728"/>
            <w:vAlign w:val="center"/>
            <w:tcMar>
              <w:top w:w="110" w:type="dxa"/>
              <w:start w:w="130" w:type="dxa"/>
              <w:bottom w:w="110" w:type="dxa"/>
              <w:end w:w="130" w:type="dxa"/>
            </w:tcMar>
          </w:tcPr>
          <w:p>
            <w:pPr>
              <w:spacing w:after="0" w:line="250" w:lineRule="auto"/>
            </w:pPr>
            <w:r>
              <w:rPr>
                <w:rFonts w:ascii="Aptos" w:hAnsi="Aptos"/>
                <w:color w:val="000000"/>
                <w:sz w:val="17"/>
              </w:rPr>
              <w:t>Bursty</w:t>
            </w:r>
          </w:p>
        </w:tc>
        <w:tc>
          <w:tcPr>
            <w:tcW w:type="dxa" w:w="2304"/>
            <w:vAlign w:val="center"/>
            <w:tcMar>
              <w:top w:w="110" w:type="dxa"/>
              <w:start w:w="130" w:type="dxa"/>
              <w:bottom w:w="110" w:type="dxa"/>
              <w:end w:w="130" w:type="dxa"/>
            </w:tcMar>
          </w:tcPr>
          <w:p>
            <w:pPr>
              <w:spacing w:after="0" w:line="250" w:lineRule="auto"/>
            </w:pPr>
            <w:r>
              <w:rPr>
                <w:rFonts w:ascii="Aptos" w:hAnsi="Aptos"/>
                <w:color w:val="000000"/>
                <w:sz w:val="17"/>
              </w:rPr>
              <w:t>Short impairment</w:t>
            </w:r>
          </w:p>
        </w:tc>
        <w:tc>
          <w:tcPr>
            <w:tcW w:type="dxa" w:w="5616"/>
            <w:vAlign w:val="center"/>
            <w:tcMar>
              <w:top w:w="110" w:type="dxa"/>
              <w:start w:w="130" w:type="dxa"/>
              <w:bottom w:w="110" w:type="dxa"/>
              <w:end w:w="130" w:type="dxa"/>
            </w:tcMar>
          </w:tcPr>
          <w:p>
            <w:pPr>
              <w:spacing w:after="0" w:line="250" w:lineRule="auto"/>
            </w:pPr>
            <w:r>
              <w:rPr>
                <w:rFonts w:ascii="Aptos" w:hAnsi="Aptos"/>
                <w:color w:val="000000"/>
                <w:sz w:val="17"/>
              </w:rPr>
              <w:t>Brief bandwidth collapse, delay spike, or 1-3 percent loss</w:t>
            </w:r>
          </w:p>
        </w:tc>
      </w:tr>
      <w:tr>
        <w:tc>
          <w:tcPr>
            <w:tcW w:type="dxa" w:w="1728"/>
            <w:shd w:fill="EAF1F8"/>
            <w:vAlign w:val="center"/>
            <w:tcMar>
              <w:top w:w="110" w:type="dxa"/>
              <w:start w:w="130" w:type="dxa"/>
              <w:bottom w:w="110" w:type="dxa"/>
              <w:end w:w="130" w:type="dxa"/>
            </w:tcMar>
          </w:tcPr>
          <w:p>
            <w:pPr>
              <w:spacing w:after="0" w:line="250" w:lineRule="auto"/>
            </w:pPr>
            <w:r>
              <w:rPr>
                <w:rFonts w:ascii="Aptos" w:hAnsi="Aptos"/>
                <w:color w:val="000000"/>
                <w:sz w:val="17"/>
              </w:rPr>
              <w:t>Periodic</w:t>
            </w:r>
          </w:p>
        </w:tc>
        <w:tc>
          <w:tcPr>
            <w:tcW w:type="dxa" w:w="2304"/>
            <w:shd w:fill="EAF1F8"/>
            <w:vAlign w:val="center"/>
            <w:tcMar>
              <w:top w:w="110" w:type="dxa"/>
              <w:start w:w="130" w:type="dxa"/>
              <w:bottom w:w="110" w:type="dxa"/>
              <w:end w:w="130" w:type="dxa"/>
            </w:tcMar>
          </w:tcPr>
          <w:p>
            <w:pPr>
              <w:spacing w:after="0" w:line="250" w:lineRule="auto"/>
            </w:pPr>
            <w:r>
              <w:rPr>
                <w:rFonts w:ascii="Aptos" w:hAnsi="Aptos"/>
                <w:color w:val="000000"/>
                <w:sz w:val="17"/>
              </w:rPr>
              <w:t>Oscillation</w:t>
            </w:r>
          </w:p>
        </w:tc>
        <w:tc>
          <w:tcPr>
            <w:tcW w:type="dxa" w:w="5616"/>
            <w:shd w:fill="EAF1F8"/>
            <w:vAlign w:val="center"/>
            <w:tcMar>
              <w:top w:w="110" w:type="dxa"/>
              <w:start w:w="130" w:type="dxa"/>
              <w:bottom w:w="110" w:type="dxa"/>
              <w:end w:w="130" w:type="dxa"/>
            </w:tcMar>
          </w:tcPr>
          <w:p>
            <w:pPr>
              <w:spacing w:after="0" w:line="250" w:lineRule="auto"/>
            </w:pPr>
            <w:r>
              <w:rPr>
                <w:rFonts w:ascii="Aptos" w:hAnsi="Aptos"/>
                <w:color w:val="000000"/>
                <w:sz w:val="17"/>
              </w:rPr>
              <w:t>Alternating good and poor states at controlled periods</w:t>
            </w:r>
          </w:p>
        </w:tc>
      </w:tr>
    </w:tbl>
    <w:p>
      <w:pPr>
        <w:spacing w:after="20"/>
      </w:pPr>
    </w:p>
    <w:p>
      <w:pPr>
        <w:pStyle w:val="Heading2"/>
        <w:keepNext/>
      </w:pPr>
      <w:r>
        <w:rPr>
          <w:rFonts w:ascii="Aptos" w:hAnsi="Aptos"/>
          <w:b/>
          <w:color w:val="000000"/>
          <w:sz w:val="23"/>
        </w:rPr>
        <w:t>5.5  Experimental Procedure and Analysis</w:t>
      </w:r>
    </w:p>
    <w:p>
      <w:pPr>
        <w:spacing w:after="100" w:line="259" w:lineRule="auto"/>
        <w:ind w:left="490" w:hanging="490"/>
      </w:pPr>
      <w:r>
        <w:rPr>
          <w:rFonts w:ascii="Aptos" w:hAnsi="Aptos"/>
          <w:color w:val="000000"/>
          <w:sz w:val="20"/>
        </w:rPr>
        <w:t>1.  Profile edge and cloud execution time and intermediate activation size for each candidate split after a warm-up period.</w:t>
      </w:r>
    </w:p>
    <w:p>
      <w:pPr>
        <w:spacing w:after="100" w:line="259" w:lineRule="auto"/>
        <w:ind w:left="490" w:hanging="490"/>
      </w:pPr>
      <w:r>
        <w:rPr>
          <w:rFonts w:ascii="Aptos" w:hAnsi="Aptos"/>
          <w:color w:val="000000"/>
          <w:sz w:val="20"/>
        </w:rPr>
        <w:t>2.  Calibrate representative network profiles, then preserve every profile as a version-controlled script and configuration file.</w:t>
      </w:r>
    </w:p>
    <w:p>
      <w:pPr>
        <w:spacing w:after="100" w:line="259" w:lineRule="auto"/>
        <w:ind w:left="490" w:hanging="490"/>
      </w:pPr>
      <w:r>
        <w:rPr>
          <w:rFonts w:ascii="Aptos" w:hAnsi="Aptos"/>
          <w:color w:val="000000"/>
          <w:sz w:val="20"/>
        </w:rPr>
        <w:t>3.  Run each model-policy-scenario combination for a fixed 60-second trace, with ten independent repetitions and randomized execution order where practical.</w:t>
      </w:r>
    </w:p>
    <w:p>
      <w:pPr>
        <w:spacing w:after="100" w:line="259" w:lineRule="auto"/>
        <w:ind w:left="490" w:hanging="490"/>
      </w:pPr>
      <w:r>
        <w:rPr>
          <w:rFonts w:ascii="Aptos" w:hAnsi="Aptos"/>
          <w:color w:val="000000"/>
          <w:sz w:val="20"/>
        </w:rPr>
        <w:t>4.  Record per-request timestamps, selected split, measured bandwidth and RTT, bytes transferred, resource utilization, and policy decisions.</w:t>
      </w:r>
    </w:p>
    <w:p>
      <w:pPr>
        <w:spacing w:after="100" w:line="259" w:lineRule="auto"/>
        <w:ind w:left="490" w:hanging="490"/>
      </w:pPr>
      <w:r>
        <w:rPr>
          <w:rFonts w:ascii="Aptos" w:hAnsi="Aptos"/>
          <w:color w:val="000000"/>
          <w:sz w:val="20"/>
        </w:rPr>
        <w:t>5.  Report median, P95, and P99 latency; SLO violation rate; throughput; switch count; adaptation delay; controller overhead; and 95 percent bootstrap confidence intervals. Use paired comparisons because policies receive matched traces.</w:t>
      </w:r>
    </w:p>
    <w:p>
      <w:pPr>
        <w:spacing w:after="100" w:line="259" w:lineRule="auto"/>
        <w:ind w:left="490" w:hanging="490"/>
      </w:pPr>
      <w:r>
        <w:rPr>
          <w:rFonts w:ascii="Aptos" w:hAnsi="Aptos"/>
          <w:color w:val="000000"/>
          <w:sz w:val="20"/>
        </w:rPr>
        <w:t>6.  Publish code, configurations, seeds, raw logs or compact reproducible result files, and figure-generation scripts in the public repository.</w:t>
      </w:r>
    </w:p>
    <w:p>
      <w:r>
        <w:br w:type="page"/>
      </w:r>
    </w:p>
    <w:p>
      <w:pPr>
        <w:pStyle w:val="Heading1"/>
        <w:keepNext/>
      </w:pPr>
      <w:r>
        <w:rPr>
          <w:rFonts w:ascii="Aptos" w:hAnsi="Aptos"/>
          <w:b/>
          <w:color w:val="000000"/>
          <w:sz w:val="30"/>
        </w:rPr>
        <w:t>6  Expected Metrics and Outcomes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7365D"/>
            <w:vAlign w:val="center"/>
            <w:tcMar>
              <w:top w:w="110" w:type="dxa"/>
              <w:start w:w="130" w:type="dxa"/>
              <w:bottom w:w="110" w:type="dxa"/>
              <w:end w:w="130" w:type="dxa"/>
            </w:tcMar>
          </w:tcPr>
          <w:p>
            <w:pPr>
              <w:spacing w:after="0"/>
              <w:jc w:val="left"/>
            </w:pPr>
            <w:r>
              <w:rPr>
                <w:rFonts w:ascii="Aptos" w:hAnsi="Aptos"/>
                <w:b/>
                <w:color w:val="FFFFFF"/>
                <w:sz w:val="18"/>
              </w:rPr>
              <w:t>Metric</w:t>
            </w:r>
          </w:p>
        </w:tc>
        <w:tc>
          <w:tcPr>
            <w:tcW w:type="dxa" w:w="7416"/>
            <w:shd w:fill="17365D"/>
            <w:vAlign w:val="center"/>
            <w:tcMar>
              <w:top w:w="110" w:type="dxa"/>
              <w:start w:w="130" w:type="dxa"/>
              <w:bottom w:w="110" w:type="dxa"/>
              <w:end w:w="130" w:type="dxa"/>
            </w:tcMar>
          </w:tcPr>
          <w:p>
            <w:pPr>
              <w:spacing w:after="0"/>
              <w:jc w:val="left"/>
            </w:pPr>
            <w:r>
              <w:rPr>
                <w:rFonts w:ascii="Aptos" w:hAnsi="Aptos"/>
                <w:b/>
                <w:color w:val="FFFFFF"/>
                <w:sz w:val="18"/>
              </w:rPr>
              <w:t>Definition and expected analytical use</w:t>
            </w:r>
          </w:p>
        </w:tc>
      </w:tr>
      <w:tr>
        <w:tc>
          <w:tcPr>
            <w:tcW w:type="dxa" w:w="2232"/>
            <w:vAlign w:val="center"/>
            <w:tcMar>
              <w:top w:w="110" w:type="dxa"/>
              <w:start w:w="130" w:type="dxa"/>
              <w:bottom w:w="110" w:type="dxa"/>
              <w:end w:w="130" w:type="dxa"/>
            </w:tcMar>
          </w:tcPr>
          <w:p>
            <w:pPr>
              <w:spacing w:after="0" w:line="250" w:lineRule="auto"/>
            </w:pPr>
            <w:r>
              <w:rPr>
                <w:rFonts w:ascii="Aptos" w:hAnsi="Aptos"/>
                <w:color w:val="000000"/>
                <w:sz w:val="17"/>
              </w:rPr>
              <w:t>End-to-end latency</w:t>
            </w:r>
          </w:p>
        </w:tc>
        <w:tc>
          <w:tcPr>
            <w:tcW w:type="dxa" w:w="7416"/>
            <w:vAlign w:val="center"/>
            <w:tcMar>
              <w:top w:w="110" w:type="dxa"/>
              <w:start w:w="130" w:type="dxa"/>
              <w:bottom w:w="110" w:type="dxa"/>
              <w:end w:w="130" w:type="dxa"/>
            </w:tcMar>
          </w:tcPr>
          <w:p>
            <w:pPr>
              <w:spacing w:after="0" w:line="250" w:lineRule="auto"/>
            </w:pPr>
            <w:r>
              <w:rPr>
                <w:rFonts w:ascii="Aptos" w:hAnsi="Aptos"/>
                <w:color w:val="000000"/>
                <w:sz w:val="17"/>
              </w:rPr>
              <w:t>Median, P95, and P99 milliseconds from request creation to prediction response</w:t>
            </w:r>
          </w:p>
        </w:tc>
      </w:tr>
      <w:tr>
        <w:tc>
          <w:tcPr>
            <w:tcW w:type="dxa" w:w="2232"/>
            <w:shd w:fill="EAF1F8"/>
            <w:vAlign w:val="center"/>
            <w:tcMar>
              <w:top w:w="110" w:type="dxa"/>
              <w:start w:w="130" w:type="dxa"/>
              <w:bottom w:w="110" w:type="dxa"/>
              <w:end w:w="130" w:type="dxa"/>
            </w:tcMar>
          </w:tcPr>
          <w:p>
            <w:pPr>
              <w:spacing w:after="0" w:line="250" w:lineRule="auto"/>
            </w:pPr>
            <w:r>
              <w:rPr>
                <w:rFonts w:ascii="Aptos" w:hAnsi="Aptos"/>
                <w:color w:val="000000"/>
                <w:sz w:val="17"/>
              </w:rPr>
              <w:t>SLO violation rate</w:t>
            </w:r>
          </w:p>
        </w:tc>
        <w:tc>
          <w:tcPr>
            <w:tcW w:type="dxa" w:w="7416"/>
            <w:shd w:fill="EAF1F8"/>
            <w:vAlign w:val="center"/>
            <w:tcMar>
              <w:top w:w="110" w:type="dxa"/>
              <w:start w:w="130" w:type="dxa"/>
              <w:bottom w:w="110" w:type="dxa"/>
              <w:end w:w="130" w:type="dxa"/>
            </w:tcMar>
          </w:tcPr>
          <w:p>
            <w:pPr>
              <w:spacing w:after="0" w:line="250" w:lineRule="auto"/>
            </w:pPr>
            <w:r>
              <w:rPr>
                <w:rFonts w:ascii="Aptos" w:hAnsi="Aptos"/>
                <w:color w:val="000000"/>
                <w:sz w:val="17"/>
              </w:rPr>
              <w:t>Percentage of requests exceeding a predeclared latency threshold</w:t>
            </w:r>
          </w:p>
        </w:tc>
      </w:tr>
      <w:tr>
        <w:tc>
          <w:tcPr>
            <w:tcW w:type="dxa" w:w="2232"/>
            <w:vAlign w:val="center"/>
            <w:tcMar>
              <w:top w:w="110" w:type="dxa"/>
              <w:start w:w="130" w:type="dxa"/>
              <w:bottom w:w="110" w:type="dxa"/>
              <w:end w:w="130" w:type="dxa"/>
            </w:tcMar>
          </w:tcPr>
          <w:p>
            <w:pPr>
              <w:spacing w:after="0" w:line="250" w:lineRule="auto"/>
            </w:pPr>
            <w:r>
              <w:rPr>
                <w:rFonts w:ascii="Aptos" w:hAnsi="Aptos"/>
                <w:color w:val="000000"/>
                <w:sz w:val="17"/>
              </w:rPr>
              <w:t>Throughput</w:t>
            </w:r>
          </w:p>
        </w:tc>
        <w:tc>
          <w:tcPr>
            <w:tcW w:type="dxa" w:w="7416"/>
            <w:vAlign w:val="center"/>
            <w:tcMar>
              <w:top w:w="110" w:type="dxa"/>
              <w:start w:w="130" w:type="dxa"/>
              <w:bottom w:w="110" w:type="dxa"/>
              <w:end w:w="130" w:type="dxa"/>
            </w:tcMar>
          </w:tcPr>
          <w:p>
            <w:pPr>
              <w:spacing w:after="0" w:line="250" w:lineRule="auto"/>
            </w:pPr>
            <w:r>
              <w:rPr>
                <w:rFonts w:ascii="Aptos" w:hAnsi="Aptos"/>
                <w:color w:val="000000"/>
                <w:sz w:val="17"/>
              </w:rPr>
              <w:t>Successfully completed inferences per second</w:t>
            </w:r>
          </w:p>
        </w:tc>
      </w:tr>
      <w:tr>
        <w:tc>
          <w:tcPr>
            <w:tcW w:type="dxa" w:w="2232"/>
            <w:shd w:fill="EAF1F8"/>
            <w:vAlign w:val="center"/>
            <w:tcMar>
              <w:top w:w="110" w:type="dxa"/>
              <w:start w:w="130" w:type="dxa"/>
              <w:bottom w:w="110" w:type="dxa"/>
              <w:end w:w="130" w:type="dxa"/>
            </w:tcMar>
          </w:tcPr>
          <w:p>
            <w:pPr>
              <w:spacing w:after="0" w:line="250" w:lineRule="auto"/>
            </w:pPr>
            <w:r>
              <w:rPr>
                <w:rFonts w:ascii="Aptos" w:hAnsi="Aptos"/>
                <w:color w:val="000000"/>
                <w:sz w:val="17"/>
              </w:rPr>
              <w:t>Communication volume</w:t>
            </w:r>
          </w:p>
        </w:tc>
        <w:tc>
          <w:tcPr>
            <w:tcW w:type="dxa" w:w="7416"/>
            <w:shd w:fill="EAF1F8"/>
            <w:vAlign w:val="center"/>
            <w:tcMar>
              <w:top w:w="110" w:type="dxa"/>
              <w:start w:w="130" w:type="dxa"/>
              <w:bottom w:w="110" w:type="dxa"/>
              <w:end w:w="130" w:type="dxa"/>
            </w:tcMar>
          </w:tcPr>
          <w:p>
            <w:pPr>
              <w:spacing w:after="0" w:line="250" w:lineRule="auto"/>
            </w:pPr>
            <w:r>
              <w:rPr>
                <w:rFonts w:ascii="Aptos" w:hAnsi="Aptos"/>
                <w:color w:val="000000"/>
                <w:sz w:val="17"/>
              </w:rPr>
              <w:t>Megabytes transmitted per inference and per trace</w:t>
            </w:r>
          </w:p>
        </w:tc>
      </w:tr>
      <w:tr>
        <w:tc>
          <w:tcPr>
            <w:tcW w:type="dxa" w:w="2232"/>
            <w:vAlign w:val="center"/>
            <w:tcMar>
              <w:top w:w="110" w:type="dxa"/>
              <w:start w:w="130" w:type="dxa"/>
              <w:bottom w:w="110" w:type="dxa"/>
              <w:end w:w="130" w:type="dxa"/>
            </w:tcMar>
          </w:tcPr>
          <w:p>
            <w:pPr>
              <w:spacing w:after="0" w:line="250" w:lineRule="auto"/>
            </w:pPr>
            <w:r>
              <w:rPr>
                <w:rFonts w:ascii="Aptos" w:hAnsi="Aptos"/>
                <w:color w:val="000000"/>
                <w:sz w:val="17"/>
              </w:rPr>
              <w:t>Switching rate</w:t>
            </w:r>
          </w:p>
        </w:tc>
        <w:tc>
          <w:tcPr>
            <w:tcW w:type="dxa" w:w="7416"/>
            <w:vAlign w:val="center"/>
            <w:tcMar>
              <w:top w:w="110" w:type="dxa"/>
              <w:start w:w="130" w:type="dxa"/>
              <w:bottom w:w="110" w:type="dxa"/>
              <w:end w:w="130" w:type="dxa"/>
            </w:tcMar>
          </w:tcPr>
          <w:p>
            <w:pPr>
              <w:spacing w:after="0" w:line="250" w:lineRule="auto"/>
            </w:pPr>
            <w:r>
              <w:rPr>
                <w:rFonts w:ascii="Aptos" w:hAnsi="Aptos"/>
                <w:color w:val="000000"/>
                <w:sz w:val="17"/>
              </w:rPr>
              <w:t>Partition changes per minute; identifies controller thrashing</w:t>
            </w:r>
          </w:p>
        </w:tc>
      </w:tr>
      <w:tr>
        <w:tc>
          <w:tcPr>
            <w:tcW w:type="dxa" w:w="2232"/>
            <w:shd w:fill="EAF1F8"/>
            <w:vAlign w:val="center"/>
            <w:tcMar>
              <w:top w:w="110" w:type="dxa"/>
              <w:start w:w="130" w:type="dxa"/>
              <w:bottom w:w="110" w:type="dxa"/>
              <w:end w:w="130" w:type="dxa"/>
            </w:tcMar>
          </w:tcPr>
          <w:p>
            <w:pPr>
              <w:spacing w:after="0" w:line="250" w:lineRule="auto"/>
            </w:pPr>
            <w:r>
              <w:rPr>
                <w:rFonts w:ascii="Aptos" w:hAnsi="Aptos"/>
                <w:color w:val="000000"/>
                <w:sz w:val="17"/>
              </w:rPr>
              <w:t>Adaptation delay</w:t>
            </w:r>
          </w:p>
        </w:tc>
        <w:tc>
          <w:tcPr>
            <w:tcW w:type="dxa" w:w="7416"/>
            <w:shd w:fill="EAF1F8"/>
            <w:vAlign w:val="center"/>
            <w:tcMar>
              <w:top w:w="110" w:type="dxa"/>
              <w:start w:w="130" w:type="dxa"/>
              <w:bottom w:w="110" w:type="dxa"/>
              <w:end w:w="130" w:type="dxa"/>
            </w:tcMar>
          </w:tcPr>
          <w:p>
            <w:pPr>
              <w:spacing w:after="0" w:line="250" w:lineRule="auto"/>
            </w:pPr>
            <w:r>
              <w:rPr>
                <w:rFonts w:ascii="Aptos" w:hAnsi="Aptos"/>
                <w:color w:val="000000"/>
                <w:sz w:val="17"/>
              </w:rPr>
              <w:t>Time from a sustained network change to selection of the new stable split</w:t>
            </w:r>
          </w:p>
        </w:tc>
      </w:tr>
      <w:tr>
        <w:tc>
          <w:tcPr>
            <w:tcW w:type="dxa" w:w="2232"/>
            <w:vAlign w:val="center"/>
            <w:tcMar>
              <w:top w:w="110" w:type="dxa"/>
              <w:start w:w="130" w:type="dxa"/>
              <w:bottom w:w="110" w:type="dxa"/>
              <w:end w:w="130" w:type="dxa"/>
            </w:tcMar>
          </w:tcPr>
          <w:p>
            <w:pPr>
              <w:spacing w:after="0" w:line="250" w:lineRule="auto"/>
            </w:pPr>
            <w:r>
              <w:rPr>
                <w:rFonts w:ascii="Aptos" w:hAnsi="Aptos"/>
                <w:color w:val="000000"/>
                <w:sz w:val="17"/>
              </w:rPr>
              <w:t>Controller overhead</w:t>
            </w:r>
          </w:p>
        </w:tc>
        <w:tc>
          <w:tcPr>
            <w:tcW w:type="dxa" w:w="7416"/>
            <w:vAlign w:val="center"/>
            <w:tcMar>
              <w:top w:w="110" w:type="dxa"/>
              <w:start w:w="130" w:type="dxa"/>
              <w:bottom w:w="110" w:type="dxa"/>
              <w:end w:w="130" w:type="dxa"/>
            </w:tcMar>
          </w:tcPr>
          <w:p>
            <w:pPr>
              <w:spacing w:after="0" w:line="250" w:lineRule="auto"/>
            </w:pPr>
            <w:r>
              <w:rPr>
                <w:rFonts w:ascii="Aptos" w:hAnsi="Aptos"/>
                <w:color w:val="000000"/>
                <w:sz w:val="17"/>
              </w:rPr>
              <w:t>Decision time and monitoring overhead per interval</w:t>
            </w:r>
          </w:p>
        </w:tc>
      </w:tr>
      <w:tr>
        <w:tc>
          <w:tcPr>
            <w:tcW w:type="dxa" w:w="2232"/>
            <w:shd w:fill="EAF1F8"/>
            <w:vAlign w:val="center"/>
            <w:tcMar>
              <w:top w:w="110" w:type="dxa"/>
              <w:start w:w="130" w:type="dxa"/>
              <w:bottom w:w="110" w:type="dxa"/>
              <w:end w:w="130" w:type="dxa"/>
            </w:tcMar>
          </w:tcPr>
          <w:p>
            <w:pPr>
              <w:spacing w:after="0" w:line="250" w:lineRule="auto"/>
            </w:pPr>
            <w:r>
              <w:rPr>
                <w:rFonts w:ascii="Aptos" w:hAnsi="Aptos"/>
                <w:color w:val="000000"/>
                <w:sz w:val="17"/>
              </w:rPr>
              <w:t>Correctness check</w:t>
            </w:r>
          </w:p>
        </w:tc>
        <w:tc>
          <w:tcPr>
            <w:tcW w:type="dxa" w:w="7416"/>
            <w:shd w:fill="EAF1F8"/>
            <w:vAlign w:val="center"/>
            <w:tcMar>
              <w:top w:w="110" w:type="dxa"/>
              <w:start w:w="130" w:type="dxa"/>
              <w:bottom w:w="110" w:type="dxa"/>
              <w:end w:w="130" w:type="dxa"/>
            </w:tcMar>
          </w:tcPr>
          <w:p>
            <w:pPr>
              <w:spacing w:after="0" w:line="250" w:lineRule="auto"/>
            </w:pPr>
            <w:r>
              <w:rPr>
                <w:rFonts w:ascii="Aptos" w:hAnsi="Aptos"/>
                <w:color w:val="000000"/>
                <w:sz w:val="17"/>
              </w:rPr>
              <w:t>Agreement of split predictions with the unsplit reference model within numerical tolerance</w:t>
            </w:r>
          </w:p>
        </w:tc>
      </w:tr>
    </w:tbl>
    <w:p>
      <w:pPr>
        <w:spacing w:after="20"/>
      </w:pPr>
    </w:p>
    <w:p>
      <w:pPr>
        <w:spacing w:after="140" w:line="269" w:lineRule="auto"/>
      </w:pPr>
      <w:r>
        <w:rPr>
          <w:rFonts w:ascii="Aptos" w:hAnsi="Aptos"/>
          <w:b/>
          <w:color w:val="000000"/>
          <w:sz w:val="21"/>
        </w:rPr>
        <w:t>Expected outcome.</w:t>
      </w:r>
      <w:r>
        <w:rPr>
          <w:rFonts w:ascii="Aptos" w:hAnsi="Aptos"/>
          <w:color w:val="000000"/>
          <w:sz w:val="21"/>
        </w:rPr>
        <w:t xml:space="preserve"> The study is expected to produce a performance map showing when edge-only, cloud-only, static splitting, or adaptive splitting is preferable. It will identify whether hysteresis improves tail latency and SLO compliance by suppressing unnecessary switches, and it will quantify the responsiveness-stability trade-off across threshold and dwell-time settings. These are hypotheses to test; the proposal does not assume that the proposed policy will win in every condition.</w:t>
      </w:r>
    </w:p>
    <w:p>
      <w:r>
        <w:br w:type="page"/>
      </w:r>
    </w:p>
    <w:p>
      <w:pPr>
        <w:pStyle w:val="Heading1"/>
        <w:keepNext/>
      </w:pPr>
      <w:r>
        <w:rPr>
          <w:rFonts w:ascii="Aptos" w:hAnsi="Aptos"/>
          <w:b/>
          <w:color w:val="000000"/>
          <w:sz w:val="30"/>
        </w:rPr>
        <w:t>7  Risks and Threats to Validity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7365D"/>
            <w:vAlign w:val="center"/>
            <w:tcMar>
              <w:top w:w="110" w:type="dxa"/>
              <w:start w:w="130" w:type="dxa"/>
              <w:bottom w:w="110" w:type="dxa"/>
              <w:end w:w="130" w:type="dxa"/>
            </w:tcMar>
          </w:tcPr>
          <w:p>
            <w:pPr>
              <w:spacing w:after="0"/>
              <w:jc w:val="left"/>
            </w:pPr>
            <w:r>
              <w:rPr>
                <w:rFonts w:ascii="Aptos" w:hAnsi="Aptos"/>
                <w:b/>
                <w:color w:val="FFFFFF"/>
                <w:sz w:val="18"/>
              </w:rPr>
              <w:t>Risk</w:t>
            </w:r>
          </w:p>
        </w:tc>
        <w:tc>
          <w:tcPr>
            <w:tcW w:type="dxa" w:w="2952"/>
            <w:shd w:fill="17365D"/>
            <w:vAlign w:val="center"/>
            <w:tcMar>
              <w:top w:w="110" w:type="dxa"/>
              <w:start w:w="130" w:type="dxa"/>
              <w:bottom w:w="110" w:type="dxa"/>
              <w:end w:w="130" w:type="dxa"/>
            </w:tcMar>
          </w:tcPr>
          <w:p>
            <w:pPr>
              <w:spacing w:after="0"/>
              <w:jc w:val="left"/>
            </w:pPr>
            <w:r>
              <w:rPr>
                <w:rFonts w:ascii="Aptos" w:hAnsi="Aptos"/>
                <w:b/>
                <w:color w:val="FFFFFF"/>
                <w:sz w:val="18"/>
              </w:rPr>
              <w:t>Effect</w:t>
            </w:r>
          </w:p>
        </w:tc>
        <w:tc>
          <w:tcPr>
            <w:tcW w:type="dxa" w:w="4896"/>
            <w:shd w:fill="17365D"/>
            <w:vAlign w:val="center"/>
            <w:tcMar>
              <w:top w:w="110" w:type="dxa"/>
              <w:start w:w="130" w:type="dxa"/>
              <w:bottom w:w="110" w:type="dxa"/>
              <w:end w:w="130" w:type="dxa"/>
            </w:tcMar>
          </w:tcPr>
          <w:p>
            <w:pPr>
              <w:spacing w:after="0"/>
              <w:jc w:val="left"/>
            </w:pPr>
            <w:r>
              <w:rPr>
                <w:rFonts w:ascii="Aptos" w:hAnsi="Aptos"/>
                <w:b/>
                <w:color w:val="FFFFFF"/>
                <w:sz w:val="18"/>
              </w:rPr>
              <w:t>Mitigation</w:t>
            </w:r>
          </w:p>
        </w:tc>
      </w:tr>
      <w:tr>
        <w:tc>
          <w:tcPr>
            <w:tcW w:type="dxa" w:w="1800"/>
            <w:vAlign w:val="center"/>
            <w:tcMar>
              <w:top w:w="110" w:type="dxa"/>
              <w:start w:w="130" w:type="dxa"/>
              <w:bottom w:w="110" w:type="dxa"/>
              <w:end w:w="130" w:type="dxa"/>
            </w:tcMar>
          </w:tcPr>
          <w:p>
            <w:pPr>
              <w:spacing w:after="0" w:line="250" w:lineRule="auto"/>
            </w:pPr>
            <w:r>
              <w:rPr>
                <w:rFonts w:ascii="Aptos" w:hAnsi="Aptos"/>
                <w:color w:val="000000"/>
                <w:sz w:val="17"/>
              </w:rPr>
              <w:t>Emulated network</w:t>
            </w:r>
          </w:p>
        </w:tc>
        <w:tc>
          <w:tcPr>
            <w:tcW w:type="dxa" w:w="2952"/>
            <w:vAlign w:val="center"/>
            <w:tcMar>
              <w:top w:w="110" w:type="dxa"/>
              <w:start w:w="130" w:type="dxa"/>
              <w:bottom w:w="110" w:type="dxa"/>
              <w:end w:w="130" w:type="dxa"/>
            </w:tcMar>
          </w:tcPr>
          <w:p>
            <w:pPr>
              <w:spacing w:after="0" w:line="250" w:lineRule="auto"/>
            </w:pPr>
            <w:r>
              <w:rPr>
                <w:rFonts w:ascii="Aptos" w:hAnsi="Aptos"/>
                <w:color w:val="000000"/>
                <w:sz w:val="17"/>
              </w:rPr>
              <w:t>May not capture every wireless behavior</w:t>
            </w:r>
          </w:p>
        </w:tc>
        <w:tc>
          <w:tcPr>
            <w:tcW w:type="dxa" w:w="4896"/>
            <w:vAlign w:val="center"/>
            <w:tcMar>
              <w:top w:w="110" w:type="dxa"/>
              <w:start w:w="130" w:type="dxa"/>
              <w:bottom w:w="110" w:type="dxa"/>
              <w:end w:w="130" w:type="dxa"/>
            </w:tcMar>
          </w:tcPr>
          <w:p>
            <w:pPr>
              <w:spacing w:after="0" w:line="250" w:lineRule="auto"/>
            </w:pPr>
            <w:r>
              <w:rPr>
                <w:rFonts w:ascii="Aptos" w:hAnsi="Aptos"/>
                <w:color w:val="000000"/>
                <w:sz w:val="17"/>
              </w:rPr>
              <w:t>State this limitation and validate a subset over a real LAN or cloud link if available</w:t>
            </w:r>
          </w:p>
        </w:tc>
      </w:tr>
      <w:tr>
        <w:tc>
          <w:tcPr>
            <w:tcW w:type="dxa" w:w="1800"/>
            <w:shd w:fill="EAF1F8"/>
            <w:vAlign w:val="center"/>
            <w:tcMar>
              <w:top w:w="110" w:type="dxa"/>
              <w:start w:w="130" w:type="dxa"/>
              <w:bottom w:w="110" w:type="dxa"/>
              <w:end w:w="130" w:type="dxa"/>
            </w:tcMar>
          </w:tcPr>
          <w:p>
            <w:pPr>
              <w:spacing w:after="0" w:line="250" w:lineRule="auto"/>
            </w:pPr>
            <w:r>
              <w:rPr>
                <w:rFonts w:ascii="Aptos" w:hAnsi="Aptos"/>
                <w:color w:val="000000"/>
                <w:sz w:val="17"/>
              </w:rPr>
              <w:t>Limited hardware</w:t>
            </w:r>
          </w:p>
        </w:tc>
        <w:tc>
          <w:tcPr>
            <w:tcW w:type="dxa" w:w="2952"/>
            <w:shd w:fill="EAF1F8"/>
            <w:vAlign w:val="center"/>
            <w:tcMar>
              <w:top w:w="110" w:type="dxa"/>
              <w:start w:w="130" w:type="dxa"/>
              <w:bottom w:w="110" w:type="dxa"/>
              <w:end w:w="130" w:type="dxa"/>
            </w:tcMar>
          </w:tcPr>
          <w:p>
            <w:pPr>
              <w:spacing w:after="0" w:line="250" w:lineRule="auto"/>
            </w:pPr>
            <w:r>
              <w:rPr>
                <w:rFonts w:ascii="Aptos" w:hAnsi="Aptos"/>
                <w:color w:val="000000"/>
                <w:sz w:val="17"/>
              </w:rPr>
              <w:t>May restrict generalization</w:t>
            </w:r>
          </w:p>
        </w:tc>
        <w:tc>
          <w:tcPr>
            <w:tcW w:type="dxa" w:w="4896"/>
            <w:shd w:fill="EAF1F8"/>
            <w:vAlign w:val="center"/>
            <w:tcMar>
              <w:top w:w="110" w:type="dxa"/>
              <w:start w:w="130" w:type="dxa"/>
              <w:bottom w:w="110" w:type="dxa"/>
              <w:end w:w="130" w:type="dxa"/>
            </w:tcMar>
          </w:tcPr>
          <w:p>
            <w:pPr>
              <w:spacing w:after="0" w:line="250" w:lineRule="auto"/>
            </w:pPr>
            <w:r>
              <w:rPr>
                <w:rFonts w:ascii="Aptos" w:hAnsi="Aptos"/>
                <w:color w:val="000000"/>
                <w:sz w:val="17"/>
              </w:rPr>
              <w:t>Use two contrasting model architectures and publish exact resource limits</w:t>
            </w:r>
          </w:p>
        </w:tc>
      </w:tr>
      <w:tr>
        <w:tc>
          <w:tcPr>
            <w:tcW w:type="dxa" w:w="1800"/>
            <w:vAlign w:val="center"/>
            <w:tcMar>
              <w:top w:w="110" w:type="dxa"/>
              <w:start w:w="130" w:type="dxa"/>
              <w:bottom w:w="110" w:type="dxa"/>
              <w:end w:w="130" w:type="dxa"/>
            </w:tcMar>
          </w:tcPr>
          <w:p>
            <w:pPr>
              <w:spacing w:after="0" w:line="250" w:lineRule="auto"/>
            </w:pPr>
            <w:r>
              <w:rPr>
                <w:rFonts w:ascii="Aptos" w:hAnsi="Aptos"/>
                <w:color w:val="000000"/>
                <w:sz w:val="17"/>
              </w:rPr>
              <w:t>Timing noise</w:t>
            </w:r>
          </w:p>
        </w:tc>
        <w:tc>
          <w:tcPr>
            <w:tcW w:type="dxa" w:w="2952"/>
            <w:vAlign w:val="center"/>
            <w:tcMar>
              <w:top w:w="110" w:type="dxa"/>
              <w:start w:w="130" w:type="dxa"/>
              <w:bottom w:w="110" w:type="dxa"/>
              <w:end w:w="130" w:type="dxa"/>
            </w:tcMar>
          </w:tcPr>
          <w:p>
            <w:pPr>
              <w:spacing w:after="0" w:line="250" w:lineRule="auto"/>
            </w:pPr>
            <w:r>
              <w:rPr>
                <w:rFonts w:ascii="Aptos" w:hAnsi="Aptos"/>
                <w:color w:val="000000"/>
                <w:sz w:val="17"/>
              </w:rPr>
              <w:t>Can distort tail metrics</w:t>
            </w:r>
          </w:p>
        </w:tc>
        <w:tc>
          <w:tcPr>
            <w:tcW w:type="dxa" w:w="4896"/>
            <w:vAlign w:val="center"/>
            <w:tcMar>
              <w:top w:w="110" w:type="dxa"/>
              <w:start w:w="130" w:type="dxa"/>
              <w:bottom w:w="110" w:type="dxa"/>
              <w:end w:w="130" w:type="dxa"/>
            </w:tcMar>
          </w:tcPr>
          <w:p>
            <w:pPr>
              <w:spacing w:after="0" w:line="250" w:lineRule="auto"/>
            </w:pPr>
            <w:r>
              <w:rPr>
                <w:rFonts w:ascii="Aptos" w:hAnsi="Aptos"/>
                <w:color w:val="000000"/>
                <w:sz w:val="17"/>
              </w:rPr>
              <w:t>Warm up models, randomize run order, repeat runs, and report confidence intervals</w:t>
            </w:r>
          </w:p>
        </w:tc>
      </w:tr>
      <w:tr>
        <w:tc>
          <w:tcPr>
            <w:tcW w:type="dxa" w:w="1800"/>
            <w:shd w:fill="EAF1F8"/>
            <w:vAlign w:val="center"/>
            <w:tcMar>
              <w:top w:w="110" w:type="dxa"/>
              <w:start w:w="130" w:type="dxa"/>
              <w:bottom w:w="110" w:type="dxa"/>
              <w:end w:w="130" w:type="dxa"/>
            </w:tcMar>
          </w:tcPr>
          <w:p>
            <w:pPr>
              <w:spacing w:after="0" w:line="250" w:lineRule="auto"/>
            </w:pPr>
            <w:r>
              <w:rPr>
                <w:rFonts w:ascii="Aptos" w:hAnsi="Aptos"/>
                <w:color w:val="000000"/>
                <w:sz w:val="17"/>
              </w:rPr>
              <w:t>Large experiment grid</w:t>
            </w:r>
          </w:p>
        </w:tc>
        <w:tc>
          <w:tcPr>
            <w:tcW w:type="dxa" w:w="2952"/>
            <w:shd w:fill="EAF1F8"/>
            <w:vAlign w:val="center"/>
            <w:tcMar>
              <w:top w:w="110" w:type="dxa"/>
              <w:start w:w="130" w:type="dxa"/>
              <w:bottom w:w="110" w:type="dxa"/>
              <w:end w:w="130" w:type="dxa"/>
            </w:tcMar>
          </w:tcPr>
          <w:p>
            <w:pPr>
              <w:spacing w:after="0" w:line="250" w:lineRule="auto"/>
            </w:pPr>
            <w:r>
              <w:rPr>
                <w:rFonts w:ascii="Aptos" w:hAnsi="Aptos"/>
                <w:color w:val="000000"/>
                <w:sz w:val="17"/>
              </w:rPr>
              <w:t>May exceed the schedule</w:t>
            </w:r>
          </w:p>
        </w:tc>
        <w:tc>
          <w:tcPr>
            <w:tcW w:type="dxa" w:w="4896"/>
            <w:shd w:fill="EAF1F8"/>
            <w:vAlign w:val="center"/>
            <w:tcMar>
              <w:top w:w="110" w:type="dxa"/>
              <w:start w:w="130" w:type="dxa"/>
              <w:bottom w:w="110" w:type="dxa"/>
              <w:end w:w="130" w:type="dxa"/>
            </w:tcMar>
          </w:tcPr>
          <w:p>
            <w:pPr>
              <w:spacing w:after="0" w:line="250" w:lineRule="auto"/>
            </w:pPr>
            <w:r>
              <w:rPr>
                <w:rFonts w:ascii="Aptos" w:hAnsi="Aptos"/>
                <w:color w:val="000000"/>
                <w:sz w:val="17"/>
              </w:rPr>
              <w:t>Pilot first, then retain a small set of discriminating scenarios</w:t>
            </w:r>
          </w:p>
        </w:tc>
      </w:tr>
    </w:tbl>
    <w:p>
      <w:pPr>
        <w:spacing w:after="20"/>
      </w:pPr>
    </w:p>
    <w:p>
      <w:pPr>
        <w:pStyle w:val="Heading2"/>
        <w:keepNext/>
      </w:pPr>
      <w:r>
        <w:rPr>
          <w:rFonts w:ascii="Aptos" w:hAnsi="Aptos"/>
          <w:b/>
          <w:color w:val="000000"/>
          <w:sz w:val="23"/>
        </w:rPr>
        <w:t>7.1  Feasibility and Scope Control</w:t>
      </w:r>
    </w:p>
    <w:p>
      <w:pPr>
        <w:spacing w:after="140" w:line="269" w:lineRule="auto"/>
      </w:pPr>
      <w:r>
        <w:rPr>
          <w:rFonts w:ascii="Aptos" w:hAnsi="Aptos"/>
          <w:color w:val="000000"/>
          <w:sz w:val="21"/>
        </w:rPr>
        <w:t>The minimum viable study uses two containerized nodes on one Linux-capable computer with explicit CPU and memory limits. A Raspberry Pi, second laptop, or low-cost cloud VM can be added for external validation but is not required for the core comparison. The experimental grid will be reduced after a pilot study so that only conditions that distinguish policy behavior are retained.</w:t>
      </w:r>
    </w:p>
    <w:p>
      <w:pPr>
        <w:spacing w:after="140" w:line="269" w:lineRule="auto"/>
      </w:pPr>
      <w:r>
        <w:rPr>
          <w:rFonts w:ascii="Aptos" w:hAnsi="Aptos"/>
          <w:color w:val="000000"/>
          <w:sz w:val="21"/>
        </w:rPr>
        <w:t>A practical target is five representative 60-second network traces, two models, five policies, and ten repetitions, for approximately 500 measured runs. Automation will make these runs feasible across several days while preserving logs, seeds, and configurations.</w:t>
      </w:r>
    </w:p>
    <w:p>
      <w:pPr>
        <w:pStyle w:val="Heading2"/>
        <w:keepNext/>
      </w:pPr>
      <w:r>
        <w:rPr>
          <w:rFonts w:ascii="Aptos" w:hAnsi="Aptos"/>
          <w:b/>
          <w:color w:val="000000"/>
          <w:sz w:val="23"/>
        </w:rPr>
        <w:t>7.2  Planned Division of Work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17365D"/>
            <w:vAlign w:val="center"/>
            <w:tcMar>
              <w:top w:w="110" w:type="dxa"/>
              <w:start w:w="130" w:type="dxa"/>
              <w:bottom w:w="110" w:type="dxa"/>
              <w:end w:w="130" w:type="dxa"/>
            </w:tcMar>
          </w:tcPr>
          <w:p>
            <w:pPr>
              <w:spacing w:after="0"/>
              <w:jc w:val="left"/>
            </w:pPr>
            <w:r>
              <w:rPr>
                <w:rFonts w:ascii="Aptos" w:hAnsi="Aptos"/>
                <w:b/>
                <w:color w:val="FFFFFF"/>
                <w:sz w:val="18"/>
              </w:rPr>
              <w:t>Role</w:t>
            </w:r>
          </w:p>
        </w:tc>
        <w:tc>
          <w:tcPr>
            <w:tcW w:type="dxa" w:w="3960"/>
            <w:shd w:fill="17365D"/>
            <w:vAlign w:val="center"/>
            <w:tcMar>
              <w:top w:w="110" w:type="dxa"/>
              <w:start w:w="130" w:type="dxa"/>
              <w:bottom w:w="110" w:type="dxa"/>
              <w:end w:w="130" w:type="dxa"/>
            </w:tcMar>
          </w:tcPr>
          <w:p>
            <w:pPr>
              <w:spacing w:after="0"/>
              <w:jc w:val="left"/>
            </w:pPr>
            <w:r>
              <w:rPr>
                <w:rFonts w:ascii="Aptos" w:hAnsi="Aptos"/>
                <w:b/>
                <w:color w:val="FFFFFF"/>
                <w:sz w:val="18"/>
              </w:rPr>
              <w:t>Primary responsibility</w:t>
            </w:r>
          </w:p>
        </w:tc>
        <w:tc>
          <w:tcPr>
            <w:tcW w:type="dxa" w:w="3744"/>
            <w:shd w:fill="17365D"/>
            <w:vAlign w:val="center"/>
            <w:tcMar>
              <w:top w:w="110" w:type="dxa"/>
              <w:start w:w="130" w:type="dxa"/>
              <w:bottom w:w="110" w:type="dxa"/>
              <w:end w:w="130" w:type="dxa"/>
            </w:tcMar>
          </w:tcPr>
          <w:p>
            <w:pPr>
              <w:spacing w:after="0"/>
              <w:jc w:val="left"/>
            </w:pPr>
            <w:r>
              <w:rPr>
                <w:rFonts w:ascii="Aptos" w:hAnsi="Aptos"/>
                <w:b/>
                <w:color w:val="FFFFFF"/>
                <w:sz w:val="18"/>
              </w:rPr>
              <w:t>Shared responsibility</w:t>
            </w:r>
          </w:p>
        </w:tc>
      </w:tr>
      <w:tr>
        <w:tc>
          <w:tcPr>
            <w:tcW w:type="dxa" w:w="1944"/>
            <w:vAlign w:val="center"/>
            <w:tcMar>
              <w:top w:w="110" w:type="dxa"/>
              <w:start w:w="130" w:type="dxa"/>
              <w:bottom w:w="110" w:type="dxa"/>
              <w:end w:w="130" w:type="dxa"/>
            </w:tcMar>
          </w:tcPr>
          <w:p>
            <w:pPr>
              <w:spacing w:after="0" w:line="250" w:lineRule="auto"/>
            </w:pPr>
            <w:r>
              <w:rPr>
                <w:rFonts w:ascii="Aptos" w:hAnsi="Aptos"/>
                <w:color w:val="000000"/>
                <w:sz w:val="17"/>
              </w:rPr>
              <w:t>Primary Researcher</w:t>
            </w:r>
          </w:p>
        </w:tc>
        <w:tc>
          <w:tcPr>
            <w:tcW w:type="dxa" w:w="3960"/>
            <w:vAlign w:val="center"/>
            <w:tcMar>
              <w:top w:w="110" w:type="dxa"/>
              <w:start w:w="130" w:type="dxa"/>
              <w:bottom w:w="110" w:type="dxa"/>
              <w:end w:w="130" w:type="dxa"/>
            </w:tcMar>
          </w:tcPr>
          <w:p>
            <w:pPr>
              <w:spacing w:after="0" w:line="250" w:lineRule="auto"/>
            </w:pPr>
            <w:r>
              <w:rPr>
                <w:rFonts w:ascii="Aptos" w:hAnsi="Aptos"/>
                <w:color w:val="000000"/>
                <w:sz w:val="17"/>
              </w:rPr>
              <w:t>Controller design, experimental orchestration, and repository integration</w:t>
            </w:r>
          </w:p>
        </w:tc>
        <w:tc>
          <w:tcPr>
            <w:tcW w:type="dxa" w:w="3744"/>
            <w:vAlign w:val="center"/>
            <w:tcMar>
              <w:top w:w="110" w:type="dxa"/>
              <w:start w:w="130" w:type="dxa"/>
              <w:bottom w:w="110" w:type="dxa"/>
              <w:end w:w="130" w:type="dxa"/>
            </w:tcMar>
          </w:tcPr>
          <w:p>
            <w:pPr>
              <w:spacing w:after="0" w:line="250" w:lineRule="auto"/>
            </w:pPr>
            <w:r>
              <w:rPr>
                <w:rFonts w:ascii="Aptos" w:hAnsi="Aptos"/>
                <w:color w:val="000000"/>
                <w:sz w:val="17"/>
              </w:rPr>
              <w:t>Literature review, analysis, manuscript, and defense</w:t>
            </w:r>
          </w:p>
        </w:tc>
      </w:tr>
      <w:tr>
        <w:tc>
          <w:tcPr>
            <w:tcW w:type="dxa" w:w="1944"/>
            <w:shd w:fill="EAF1F8"/>
            <w:vAlign w:val="center"/>
            <w:tcMar>
              <w:top w:w="110" w:type="dxa"/>
              <w:start w:w="130" w:type="dxa"/>
              <w:bottom w:w="110" w:type="dxa"/>
              <w:end w:w="130" w:type="dxa"/>
            </w:tcMar>
          </w:tcPr>
          <w:p>
            <w:pPr>
              <w:spacing w:after="0" w:line="250" w:lineRule="auto"/>
            </w:pPr>
            <w:r>
              <w:rPr>
                <w:rFonts w:ascii="Aptos" w:hAnsi="Aptos"/>
                <w:color w:val="000000"/>
                <w:sz w:val="17"/>
              </w:rPr>
              <w:t>Co Researcher</w:t>
            </w:r>
          </w:p>
        </w:tc>
        <w:tc>
          <w:tcPr>
            <w:tcW w:type="dxa" w:w="3960"/>
            <w:shd w:fill="EAF1F8"/>
            <w:vAlign w:val="center"/>
            <w:tcMar>
              <w:top w:w="110" w:type="dxa"/>
              <w:start w:w="130" w:type="dxa"/>
              <w:bottom w:w="110" w:type="dxa"/>
              <w:end w:w="130" w:type="dxa"/>
            </w:tcMar>
          </w:tcPr>
          <w:p>
            <w:pPr>
              <w:spacing w:after="0" w:line="250" w:lineRule="auto"/>
            </w:pPr>
            <w:r>
              <w:rPr>
                <w:rFonts w:ascii="Aptos" w:hAnsi="Aptos"/>
                <w:color w:val="000000"/>
                <w:sz w:val="17"/>
              </w:rPr>
              <w:t>Model partitioning, workload generation, and measurement pipeline</w:t>
            </w:r>
          </w:p>
        </w:tc>
        <w:tc>
          <w:tcPr>
            <w:tcW w:type="dxa" w:w="3744"/>
            <w:shd w:fill="EAF1F8"/>
            <w:vAlign w:val="center"/>
            <w:tcMar>
              <w:top w:w="110" w:type="dxa"/>
              <w:start w:w="130" w:type="dxa"/>
              <w:bottom w:w="110" w:type="dxa"/>
              <w:end w:w="130" w:type="dxa"/>
            </w:tcMar>
          </w:tcPr>
          <w:p>
            <w:pPr>
              <w:spacing w:after="0" w:line="250" w:lineRule="auto"/>
            </w:pPr>
            <w:r>
              <w:rPr>
                <w:rFonts w:ascii="Aptos" w:hAnsi="Aptos"/>
                <w:color w:val="000000"/>
                <w:sz w:val="17"/>
              </w:rPr>
              <w:t>Literature review, analysis, manuscript, and defense</w:t>
            </w:r>
          </w:p>
        </w:tc>
      </w:tr>
    </w:tbl>
    <w:p>
      <w:pPr>
        <w:spacing w:after="20"/>
      </w:pPr>
    </w:p>
    <w:p>
      <w:r>
        <w:br w:type="page"/>
      </w:r>
    </w:p>
    <w:p>
      <w:pPr>
        <w:pStyle w:val="Heading1"/>
        <w:keepNext/>
      </w:pPr>
      <w:r>
        <w:rPr>
          <w:rFonts w:ascii="Aptos" w:hAnsi="Aptos"/>
          <w:b/>
          <w:color w:val="000000"/>
          <w:sz w:val="30"/>
        </w:rPr>
        <w:t>8  Overleaf GitHub and Sheet Setup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56"/>
            <w:shd w:fill="17365D"/>
            <w:vAlign w:val="center"/>
            <w:tcMar>
              <w:top w:w="110" w:type="dxa"/>
              <w:start w:w="130" w:type="dxa"/>
              <w:bottom w:w="110" w:type="dxa"/>
              <w:end w:w="130" w:type="dxa"/>
            </w:tcMar>
          </w:tcPr>
          <w:p>
            <w:pPr>
              <w:spacing w:after="0"/>
              <w:jc w:val="left"/>
            </w:pPr>
            <w:r>
              <w:rPr>
                <w:rFonts w:ascii="Aptos" w:hAnsi="Aptos"/>
                <w:b/>
                <w:color w:val="FFFFFF"/>
                <w:sz w:val="18"/>
              </w:rPr>
              <w:t>Item</w:t>
            </w:r>
          </w:p>
        </w:tc>
        <w:tc>
          <w:tcPr>
            <w:tcW w:type="dxa" w:w="5976"/>
            <w:shd w:fill="17365D"/>
            <w:vAlign w:val="center"/>
            <w:tcMar>
              <w:top w:w="110" w:type="dxa"/>
              <w:start w:w="130" w:type="dxa"/>
              <w:bottom w:w="110" w:type="dxa"/>
              <w:end w:w="130" w:type="dxa"/>
            </w:tcMar>
          </w:tcPr>
          <w:p>
            <w:pPr>
              <w:spacing w:after="0"/>
              <w:jc w:val="left"/>
            </w:pPr>
            <w:r>
              <w:rPr>
                <w:rFonts w:ascii="Aptos" w:hAnsi="Aptos"/>
                <w:b/>
                <w:color w:val="FFFFFF"/>
                <w:sz w:val="18"/>
              </w:rPr>
              <w:t>Required action</w:t>
            </w:r>
          </w:p>
        </w:tc>
        <w:tc>
          <w:tcPr>
            <w:tcW w:type="dxa" w:w="2016"/>
            <w:shd w:fill="17365D"/>
            <w:vAlign w:val="center"/>
            <w:tcMar>
              <w:top w:w="110" w:type="dxa"/>
              <w:start w:w="130" w:type="dxa"/>
              <w:bottom w:w="110" w:type="dxa"/>
              <w:end w:w="130" w:type="dxa"/>
            </w:tcMar>
          </w:tcPr>
          <w:p>
            <w:pPr>
              <w:spacing w:after="0"/>
              <w:jc w:val="left"/>
            </w:pPr>
            <w:r>
              <w:rPr>
                <w:rFonts w:ascii="Aptos" w:hAnsi="Aptos"/>
                <w:b/>
                <w:color w:val="FFFFFF"/>
                <w:sz w:val="18"/>
              </w:rPr>
              <w:t>Status before submission</w:t>
            </w:r>
          </w:p>
        </w:tc>
      </w:tr>
      <w:tr>
        <w:tc>
          <w:tcPr>
            <w:tcW w:type="dxa" w:w="1656"/>
            <w:vAlign w:val="center"/>
            <w:tcMar>
              <w:top w:w="110" w:type="dxa"/>
              <w:start w:w="130" w:type="dxa"/>
              <w:bottom w:w="110" w:type="dxa"/>
              <w:end w:w="130" w:type="dxa"/>
            </w:tcMar>
          </w:tcPr>
          <w:p>
            <w:pPr>
              <w:spacing w:after="0" w:line="250" w:lineRule="auto"/>
            </w:pPr>
            <w:r>
              <w:rPr>
                <w:rFonts w:ascii="Aptos" w:hAnsi="Aptos"/>
                <w:color w:val="000000"/>
                <w:sz w:val="17"/>
              </w:rPr>
              <w:t>Overleaf</w:t>
            </w:r>
          </w:p>
        </w:tc>
        <w:tc>
          <w:tcPr>
            <w:tcW w:type="dxa" w:w="5976"/>
            <w:vAlign w:val="center"/>
            <w:tcMar>
              <w:top w:w="110" w:type="dxa"/>
              <w:start w:w="130" w:type="dxa"/>
              <w:bottom w:w="110" w:type="dxa"/>
              <w:end w:w="130" w:type="dxa"/>
            </w:tcMar>
          </w:tcPr>
          <w:p>
            <w:pPr>
              <w:spacing w:after="0" w:line="250" w:lineRule="auto"/>
            </w:pPr>
            <w:r>
              <w:rPr>
                <w:rFonts w:ascii="Aptos" w:hAnsi="Aptos"/>
                <w:color w:val="000000"/>
                <w:sz w:val="17"/>
              </w:rPr>
              <w:t>Copy the instructor template and name it Grp##_Roll1_Roll2_adaptive_dnn_split_inference</w:t>
            </w:r>
          </w:p>
        </w:tc>
        <w:tc>
          <w:tcPr>
            <w:tcW w:type="dxa" w:w="2016"/>
            <w:vAlign w:val="center"/>
            <w:tcMar>
              <w:top w:w="110" w:type="dxa"/>
              <w:start w:w="130" w:type="dxa"/>
              <w:bottom w:w="110" w:type="dxa"/>
              <w:end w:w="130" w:type="dxa"/>
            </w:tcMar>
          </w:tcPr>
          <w:p>
            <w:pPr>
              <w:spacing w:after="0" w:line="250" w:lineRule="auto"/>
            </w:pPr>
            <w:r>
              <w:rPr>
                <w:rFonts w:ascii="Aptos" w:hAnsi="Aptos"/>
                <w:color w:val="000000"/>
                <w:sz w:val="17"/>
              </w:rPr>
              <w:t>URL to be added</w:t>
            </w:r>
          </w:p>
        </w:tc>
      </w:tr>
      <w:tr>
        <w:tc>
          <w:tcPr>
            <w:tcW w:type="dxa" w:w="1656"/>
            <w:shd w:fill="EAF1F8"/>
            <w:vAlign w:val="center"/>
            <w:tcMar>
              <w:top w:w="110" w:type="dxa"/>
              <w:start w:w="130" w:type="dxa"/>
              <w:bottom w:w="110" w:type="dxa"/>
              <w:end w:w="130" w:type="dxa"/>
            </w:tcMar>
          </w:tcPr>
          <w:p>
            <w:pPr>
              <w:spacing w:after="0" w:line="250" w:lineRule="auto"/>
            </w:pPr>
            <w:r>
              <w:rPr>
                <w:rFonts w:ascii="Aptos" w:hAnsi="Aptos"/>
                <w:color w:val="000000"/>
                <w:sz w:val="17"/>
              </w:rPr>
              <w:t>Instructor access</w:t>
            </w:r>
          </w:p>
        </w:tc>
        <w:tc>
          <w:tcPr>
            <w:tcW w:type="dxa" w:w="5976"/>
            <w:shd w:fill="EAF1F8"/>
            <w:vAlign w:val="center"/>
            <w:tcMar>
              <w:top w:w="110" w:type="dxa"/>
              <w:start w:w="130" w:type="dxa"/>
              <w:bottom w:w="110" w:type="dxa"/>
              <w:end w:w="130" w:type="dxa"/>
            </w:tcMar>
          </w:tcPr>
          <w:p>
            <w:pPr>
              <w:spacing w:after="0" w:line="250" w:lineRule="auto"/>
            </w:pPr>
            <w:r>
              <w:rPr>
                <w:rFonts w:ascii="Aptos" w:hAnsi="Aptos"/>
                <w:color w:val="000000"/>
                <w:sz w:val="17"/>
              </w:rPr>
              <w:t>Add basharat.hussain.v@isb.nu.edu.pk as Editor or Collaborator and retain access</w:t>
            </w:r>
          </w:p>
        </w:tc>
        <w:tc>
          <w:tcPr>
            <w:tcW w:type="dxa" w:w="2016"/>
            <w:shd w:fill="EAF1F8"/>
            <w:vAlign w:val="center"/>
            <w:tcMar>
              <w:top w:w="110" w:type="dxa"/>
              <w:start w:w="130" w:type="dxa"/>
              <w:bottom w:w="110" w:type="dxa"/>
              <w:end w:w="130" w:type="dxa"/>
            </w:tcMar>
          </w:tcPr>
          <w:p>
            <w:pPr>
              <w:spacing w:after="0" w:line="250" w:lineRule="auto"/>
            </w:pPr>
            <w:r>
              <w:rPr>
                <w:rFonts w:ascii="Aptos" w:hAnsi="Aptos"/>
                <w:color w:val="000000"/>
                <w:sz w:val="17"/>
              </w:rPr>
              <w:t>Not confirmed</w:t>
            </w:r>
          </w:p>
        </w:tc>
      </w:tr>
      <w:tr>
        <w:tc>
          <w:tcPr>
            <w:tcW w:type="dxa" w:w="1656"/>
            <w:vAlign w:val="center"/>
            <w:tcMar>
              <w:top w:w="110" w:type="dxa"/>
              <w:start w:w="130" w:type="dxa"/>
              <w:bottom w:w="110" w:type="dxa"/>
              <w:end w:w="130" w:type="dxa"/>
            </w:tcMar>
          </w:tcPr>
          <w:p>
            <w:pPr>
              <w:spacing w:after="0" w:line="250" w:lineRule="auto"/>
            </w:pPr>
            <w:r>
              <w:rPr>
                <w:rFonts w:ascii="Aptos" w:hAnsi="Aptos"/>
                <w:color w:val="000000"/>
                <w:sz w:val="17"/>
              </w:rPr>
              <w:t>Public GitHub</w:t>
            </w:r>
          </w:p>
        </w:tc>
        <w:tc>
          <w:tcPr>
            <w:tcW w:type="dxa" w:w="5976"/>
            <w:vAlign w:val="center"/>
            <w:tcMar>
              <w:top w:w="110" w:type="dxa"/>
              <w:start w:w="130" w:type="dxa"/>
              <w:bottom w:w="110" w:type="dxa"/>
              <w:end w:w="130" w:type="dxa"/>
            </w:tcMar>
          </w:tcPr>
          <w:p>
            <w:pPr>
              <w:spacing w:after="0" w:line="250" w:lineRule="auto"/>
            </w:pPr>
            <w:r>
              <w:rPr>
                <w:rFonts w:ascii="Aptos" w:hAnsi="Aptos"/>
                <w:color w:val="000000"/>
                <w:sz w:val="17"/>
              </w:rPr>
              <w:t>Create a public repository such as edge-cloud-split-inference with README, license, configs, scripts, environment, and reproduction steps</w:t>
            </w:r>
          </w:p>
        </w:tc>
        <w:tc>
          <w:tcPr>
            <w:tcW w:type="dxa" w:w="2016"/>
            <w:vAlign w:val="center"/>
            <w:tcMar>
              <w:top w:w="110" w:type="dxa"/>
              <w:start w:w="130" w:type="dxa"/>
              <w:bottom w:w="110" w:type="dxa"/>
              <w:end w:w="130" w:type="dxa"/>
            </w:tcMar>
          </w:tcPr>
          <w:p>
            <w:pPr>
              <w:spacing w:after="0" w:line="250" w:lineRule="auto"/>
            </w:pPr>
            <w:r>
              <w:rPr>
                <w:rFonts w:ascii="Aptos" w:hAnsi="Aptos"/>
                <w:color w:val="000000"/>
                <w:sz w:val="17"/>
              </w:rPr>
              <w:t>URL to be added</w:t>
            </w:r>
          </w:p>
        </w:tc>
      </w:tr>
      <w:tr>
        <w:tc>
          <w:tcPr>
            <w:tcW w:type="dxa" w:w="1656"/>
            <w:shd w:fill="EAF1F8"/>
            <w:vAlign w:val="center"/>
            <w:tcMar>
              <w:top w:w="110" w:type="dxa"/>
              <w:start w:w="130" w:type="dxa"/>
              <w:bottom w:w="110" w:type="dxa"/>
              <w:end w:w="130" w:type="dxa"/>
            </w:tcMar>
          </w:tcPr>
          <w:p>
            <w:pPr>
              <w:spacing w:after="0" w:line="250" w:lineRule="auto"/>
            </w:pPr>
            <w:r>
              <w:rPr>
                <w:rFonts w:ascii="Aptos" w:hAnsi="Aptos"/>
                <w:color w:val="000000"/>
                <w:sz w:val="17"/>
              </w:rPr>
              <w:t>Google Sheet</w:t>
            </w:r>
          </w:p>
        </w:tc>
        <w:tc>
          <w:tcPr>
            <w:tcW w:type="dxa" w:w="5976"/>
            <w:shd w:fill="EAF1F8"/>
            <w:vAlign w:val="center"/>
            <w:tcMar>
              <w:top w:w="110" w:type="dxa"/>
              <w:start w:w="130" w:type="dxa"/>
              <w:bottom w:w="110" w:type="dxa"/>
              <w:end w:w="130" w:type="dxa"/>
            </w:tcMar>
          </w:tcPr>
          <w:p>
            <w:pPr>
              <w:spacing w:after="0" w:line="250" w:lineRule="auto"/>
            </w:pPr>
            <w:r>
              <w:rPr>
                <w:rFonts w:ascii="Aptos" w:hAnsi="Aptos"/>
                <w:color w:val="000000"/>
                <w:sz w:val="17"/>
              </w:rPr>
              <w:t>Complete every field listed below; use Proposed until the instructor approves the title</w:t>
            </w:r>
          </w:p>
        </w:tc>
        <w:tc>
          <w:tcPr>
            <w:tcW w:type="dxa" w:w="2016"/>
            <w:shd w:fill="EAF1F8"/>
            <w:vAlign w:val="center"/>
            <w:tcMar>
              <w:top w:w="110" w:type="dxa"/>
              <w:start w:w="130" w:type="dxa"/>
              <w:bottom w:w="110" w:type="dxa"/>
              <w:end w:w="130" w:type="dxa"/>
            </w:tcMar>
          </w:tcPr>
          <w:p>
            <w:pPr>
              <w:spacing w:after="0" w:line="250" w:lineRule="auto"/>
            </w:pPr>
            <w:r>
              <w:rPr>
                <w:rFonts w:ascii="Aptos" w:hAnsi="Aptos"/>
                <w:color w:val="000000"/>
                <w:sz w:val="17"/>
              </w:rPr>
              <w:t>Pending personal data and URLs</w:t>
            </w:r>
          </w:p>
        </w:tc>
      </w:tr>
    </w:tbl>
    <w:p>
      <w:pPr>
        <w:spacing w:after="20"/>
      </w:pPr>
    </w:p>
    <w:p>
      <w:pPr>
        <w:pStyle w:val="Heading1"/>
        <w:keepNext/>
      </w:pPr>
      <w:r>
        <w:rPr>
          <w:rFonts w:ascii="Aptos" w:hAnsi="Aptos"/>
          <w:b/>
          <w:color w:val="000000"/>
          <w:sz w:val="30"/>
        </w:rPr>
        <w:t>9  Google Sheet Entry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16"/>
            <w:shd w:fill="17365D"/>
            <w:vAlign w:val="center"/>
            <w:tcMar>
              <w:top w:w="110" w:type="dxa"/>
              <w:start w:w="130" w:type="dxa"/>
              <w:bottom w:w="110" w:type="dxa"/>
              <w:end w:w="130" w:type="dxa"/>
            </w:tcMar>
          </w:tcPr>
          <w:p>
            <w:pPr>
              <w:spacing w:after="0"/>
              <w:jc w:val="left"/>
            </w:pPr>
            <w:r>
              <w:rPr>
                <w:rFonts w:ascii="Aptos" w:hAnsi="Aptos"/>
                <w:b/>
                <w:color w:val="FFFFFF"/>
                <w:sz w:val="18"/>
              </w:rPr>
              <w:t>Sheet field</w:t>
            </w:r>
          </w:p>
        </w:tc>
        <w:tc>
          <w:tcPr>
            <w:tcW w:type="dxa" w:w="7632"/>
            <w:shd w:fill="17365D"/>
            <w:vAlign w:val="center"/>
            <w:tcMar>
              <w:top w:w="110" w:type="dxa"/>
              <w:start w:w="130" w:type="dxa"/>
              <w:bottom w:w="110" w:type="dxa"/>
              <w:end w:w="130" w:type="dxa"/>
            </w:tcMar>
          </w:tcPr>
          <w:p>
            <w:pPr>
              <w:spacing w:after="0"/>
              <w:jc w:val="left"/>
            </w:pPr>
            <w:r>
              <w:rPr>
                <w:rFonts w:ascii="Aptos" w:hAnsi="Aptos"/>
                <w:b/>
                <w:color w:val="FFFFFF"/>
                <w:sz w:val="18"/>
              </w:rPr>
              <w:t>Value to enter</w:t>
            </w:r>
          </w:p>
        </w:tc>
      </w:tr>
      <w:tr>
        <w:tc>
          <w:tcPr>
            <w:tcW w:type="dxa" w:w="2016"/>
            <w:vAlign w:val="center"/>
            <w:tcMar>
              <w:top w:w="110" w:type="dxa"/>
              <w:start w:w="130" w:type="dxa"/>
              <w:bottom w:w="110" w:type="dxa"/>
              <w:end w:w="130" w:type="dxa"/>
            </w:tcMar>
          </w:tcPr>
          <w:p>
            <w:pPr>
              <w:spacing w:after="0" w:line="250" w:lineRule="auto"/>
            </w:pPr>
            <w:r>
              <w:rPr>
                <w:rFonts w:ascii="Aptos" w:hAnsi="Aptos"/>
                <w:color w:val="000000"/>
                <w:sz w:val="16"/>
              </w:rPr>
              <w:t>Group ID</w:t>
            </w:r>
          </w:p>
        </w:tc>
        <w:tc>
          <w:tcPr>
            <w:tcW w:type="dxa" w:w="7632"/>
            <w:vAlign w:val="center"/>
            <w:tcMar>
              <w:top w:w="110" w:type="dxa"/>
              <w:start w:w="130" w:type="dxa"/>
              <w:bottom w:w="110" w:type="dxa"/>
              <w:end w:w="130" w:type="dxa"/>
            </w:tcMar>
          </w:tcPr>
          <w:p>
            <w:pPr>
              <w:spacing w:after="0" w:line="250" w:lineRule="auto"/>
            </w:pPr>
            <w:r>
              <w:rPr>
                <w:rFonts w:ascii="Aptos" w:hAnsi="Aptos"/>
                <w:color w:val="000000"/>
                <w:sz w:val="16"/>
              </w:rPr>
              <w:t>Assigned value in the official sheet  G01 to G40</w:t>
            </w:r>
          </w:p>
        </w:tc>
      </w:tr>
      <w:tr>
        <w:tc>
          <w:tcPr>
            <w:tcW w:type="dxa" w:w="2016"/>
            <w:shd w:fill="EAF1F8"/>
            <w:vAlign w:val="center"/>
            <w:tcMar>
              <w:top w:w="110" w:type="dxa"/>
              <w:start w:w="130" w:type="dxa"/>
              <w:bottom w:w="110" w:type="dxa"/>
              <w:end w:w="130" w:type="dxa"/>
            </w:tcMar>
          </w:tcPr>
          <w:p>
            <w:pPr>
              <w:spacing w:after="0" w:line="250" w:lineRule="auto"/>
            </w:pPr>
            <w:r>
              <w:rPr>
                <w:rFonts w:ascii="Aptos" w:hAnsi="Aptos"/>
                <w:color w:val="000000"/>
                <w:sz w:val="16"/>
              </w:rPr>
              <w:t>Students</w:t>
            </w:r>
          </w:p>
        </w:tc>
        <w:tc>
          <w:tcPr>
            <w:tcW w:type="dxa" w:w="7632"/>
            <w:shd w:fill="EAF1F8"/>
            <w:vAlign w:val="center"/>
            <w:tcMar>
              <w:top w:w="110" w:type="dxa"/>
              <w:start w:w="130" w:type="dxa"/>
              <w:bottom w:w="110" w:type="dxa"/>
              <w:end w:w="130" w:type="dxa"/>
            </w:tcMar>
          </w:tcPr>
          <w:p>
            <w:pPr>
              <w:spacing w:after="0" w:line="250" w:lineRule="auto"/>
            </w:pPr>
            <w:r>
              <w:rPr>
                <w:rFonts w:ascii="Aptos" w:hAnsi="Aptos"/>
                <w:color w:val="000000"/>
                <w:sz w:val="16"/>
              </w:rPr>
              <w:t>Student 1 full name  ID  institutional email  Student 2 full name  ID  institutional email</w:t>
            </w:r>
          </w:p>
        </w:tc>
      </w:tr>
      <w:tr>
        <w:tc>
          <w:tcPr>
            <w:tcW w:type="dxa" w:w="2016"/>
            <w:vAlign w:val="center"/>
            <w:tcMar>
              <w:top w:w="110" w:type="dxa"/>
              <w:start w:w="130" w:type="dxa"/>
              <w:bottom w:w="110" w:type="dxa"/>
              <w:end w:w="130" w:type="dxa"/>
            </w:tcMar>
          </w:tcPr>
          <w:p>
            <w:pPr>
              <w:spacing w:after="0" w:line="250" w:lineRule="auto"/>
            </w:pPr>
            <w:r>
              <w:rPr>
                <w:rFonts w:ascii="Aptos" w:hAnsi="Aptos"/>
                <w:color w:val="000000"/>
                <w:sz w:val="16"/>
              </w:rPr>
              <w:t>Section</w:t>
            </w:r>
          </w:p>
        </w:tc>
        <w:tc>
          <w:tcPr>
            <w:tcW w:type="dxa" w:w="7632"/>
            <w:vAlign w:val="center"/>
            <w:tcMar>
              <w:top w:w="110" w:type="dxa"/>
              <w:start w:w="130" w:type="dxa"/>
              <w:bottom w:w="110" w:type="dxa"/>
              <w:end w:w="130" w:type="dxa"/>
            </w:tcMar>
          </w:tcPr>
          <w:p>
            <w:pPr>
              <w:spacing w:after="0" w:line="250" w:lineRule="auto"/>
            </w:pPr>
            <w:r>
              <w:rPr>
                <w:rFonts w:ascii="Aptos" w:hAnsi="Aptos"/>
                <w:color w:val="000000"/>
                <w:sz w:val="16"/>
              </w:rPr>
              <w:t>A  B  or A plus B</w:t>
            </w:r>
          </w:p>
        </w:tc>
      </w:tr>
      <w:tr>
        <w:tc>
          <w:tcPr>
            <w:tcW w:type="dxa" w:w="2016"/>
            <w:shd w:fill="EAF1F8"/>
            <w:vAlign w:val="center"/>
            <w:tcMar>
              <w:top w:w="110" w:type="dxa"/>
              <w:start w:w="130" w:type="dxa"/>
              <w:bottom w:w="110" w:type="dxa"/>
              <w:end w:w="130" w:type="dxa"/>
            </w:tcMar>
          </w:tcPr>
          <w:p>
            <w:pPr>
              <w:spacing w:after="0" w:line="250" w:lineRule="auto"/>
            </w:pPr>
            <w:r>
              <w:rPr>
                <w:rFonts w:ascii="Aptos" w:hAnsi="Aptos"/>
                <w:color w:val="000000"/>
                <w:sz w:val="16"/>
              </w:rPr>
              <w:t>Research area</w:t>
            </w:r>
          </w:p>
        </w:tc>
        <w:tc>
          <w:tcPr>
            <w:tcW w:type="dxa" w:w="7632"/>
            <w:shd w:fill="EAF1F8"/>
            <w:vAlign w:val="center"/>
            <w:tcMar>
              <w:top w:w="110" w:type="dxa"/>
              <w:start w:w="130" w:type="dxa"/>
              <w:bottom w:w="110" w:type="dxa"/>
              <w:end w:w="130" w:type="dxa"/>
            </w:tcMar>
          </w:tcPr>
          <w:p>
            <w:pPr>
              <w:spacing w:after="0" w:line="250" w:lineRule="auto"/>
            </w:pPr>
            <w:r>
              <w:rPr>
                <w:rFonts w:ascii="Aptos" w:hAnsi="Aptos"/>
                <w:color w:val="000000"/>
                <w:sz w:val="16"/>
              </w:rPr>
              <w:t>Edge Cloud Intelligence</w:t>
            </w:r>
          </w:p>
        </w:tc>
      </w:tr>
      <w:tr>
        <w:tc>
          <w:tcPr>
            <w:tcW w:type="dxa" w:w="2016"/>
            <w:vAlign w:val="center"/>
            <w:tcMar>
              <w:top w:w="110" w:type="dxa"/>
              <w:start w:w="130" w:type="dxa"/>
              <w:bottom w:w="110" w:type="dxa"/>
              <w:end w:w="130" w:type="dxa"/>
            </w:tcMar>
          </w:tcPr>
          <w:p>
            <w:pPr>
              <w:spacing w:after="0" w:line="250" w:lineRule="auto"/>
            </w:pPr>
            <w:r>
              <w:rPr>
                <w:rFonts w:ascii="Aptos" w:hAnsi="Aptos"/>
                <w:color w:val="000000"/>
                <w:sz w:val="16"/>
              </w:rPr>
              <w:t>Proposed title</w:t>
            </w:r>
          </w:p>
        </w:tc>
        <w:tc>
          <w:tcPr>
            <w:tcW w:type="dxa" w:w="7632"/>
            <w:vAlign w:val="center"/>
            <w:tcMar>
              <w:top w:w="110" w:type="dxa"/>
              <w:start w:w="130" w:type="dxa"/>
              <w:bottom w:w="110" w:type="dxa"/>
              <w:end w:w="130" w:type="dxa"/>
            </w:tcMar>
          </w:tcPr>
          <w:p>
            <w:pPr>
              <w:spacing w:after="0" w:line="250" w:lineRule="auto"/>
            </w:pPr>
            <w:r>
              <w:rPr>
                <w:rFonts w:ascii="Aptos" w:hAnsi="Aptos"/>
                <w:color w:val="000000"/>
                <w:sz w:val="16"/>
              </w:rPr>
              <w:t>Evaluating Hysteresis-Aware Adaptive DNN Split Inference under Fluctuating Edge-Cloud Network Conditions</w:t>
            </w:r>
          </w:p>
        </w:tc>
      </w:tr>
      <w:tr>
        <w:tc>
          <w:tcPr>
            <w:tcW w:type="dxa" w:w="2016"/>
            <w:shd w:fill="EAF1F8"/>
            <w:vAlign w:val="center"/>
            <w:tcMar>
              <w:top w:w="110" w:type="dxa"/>
              <w:start w:w="130" w:type="dxa"/>
              <w:bottom w:w="110" w:type="dxa"/>
              <w:end w:w="130" w:type="dxa"/>
            </w:tcMar>
          </w:tcPr>
          <w:p>
            <w:pPr>
              <w:spacing w:after="0" w:line="250" w:lineRule="auto"/>
            </w:pPr>
            <w:r>
              <w:rPr>
                <w:rFonts w:ascii="Aptos" w:hAnsi="Aptos"/>
                <w:color w:val="000000"/>
                <w:sz w:val="16"/>
              </w:rPr>
              <w:t>Research problem</w:t>
            </w:r>
          </w:p>
        </w:tc>
        <w:tc>
          <w:tcPr>
            <w:tcW w:type="dxa" w:w="7632"/>
            <w:shd w:fill="EAF1F8"/>
            <w:vAlign w:val="center"/>
            <w:tcMar>
              <w:top w:w="110" w:type="dxa"/>
              <w:start w:w="130" w:type="dxa"/>
              <w:bottom w:w="110" w:type="dxa"/>
              <w:end w:w="130" w:type="dxa"/>
            </w:tcMar>
          </w:tcPr>
          <w:p>
            <w:pPr>
              <w:spacing w:after="0" w:line="250" w:lineRule="auto"/>
            </w:pPr>
            <w:r>
              <w:rPr>
                <w:rFonts w:ascii="Aptos" w:hAnsi="Aptos"/>
                <w:color w:val="000000"/>
                <w:sz w:val="16"/>
              </w:rPr>
              <w:t>Static DNN split points become inefficient when edge-cloud network conditions change, while greedy repartitioning can thrash and worsen tail latency. The study will test whether hysteresis stabilizes runtime split selection.</w:t>
            </w:r>
          </w:p>
        </w:tc>
      </w:tr>
      <w:tr>
        <w:tc>
          <w:tcPr>
            <w:tcW w:type="dxa" w:w="2016"/>
            <w:vAlign w:val="center"/>
            <w:tcMar>
              <w:top w:w="110" w:type="dxa"/>
              <w:start w:w="130" w:type="dxa"/>
              <w:bottom w:w="110" w:type="dxa"/>
              <w:end w:w="130" w:type="dxa"/>
            </w:tcMar>
          </w:tcPr>
          <w:p>
            <w:pPr>
              <w:spacing w:after="0" w:line="250" w:lineRule="auto"/>
            </w:pPr>
            <w:r>
              <w:rPr>
                <w:rFonts w:ascii="Aptos" w:hAnsi="Aptos"/>
                <w:color w:val="000000"/>
                <w:sz w:val="16"/>
              </w:rPr>
              <w:t>Research question</w:t>
            </w:r>
          </w:p>
        </w:tc>
        <w:tc>
          <w:tcPr>
            <w:tcW w:type="dxa" w:w="7632"/>
            <w:vAlign w:val="center"/>
            <w:tcMar>
              <w:top w:w="110" w:type="dxa"/>
              <w:start w:w="130" w:type="dxa"/>
              <w:bottom w:w="110" w:type="dxa"/>
              <w:end w:w="130" w:type="dxa"/>
            </w:tcMar>
          </w:tcPr>
          <w:p>
            <w:pPr>
              <w:spacing w:after="0" w:line="250" w:lineRule="auto"/>
            </w:pPr>
            <w:r>
              <w:rPr>
                <w:rFonts w:ascii="Aptos" w:hAnsi="Aptos"/>
                <w:color w:val="000000"/>
                <w:sz w:val="16"/>
              </w:rPr>
              <w:t>Under which patterns and rates of network change does a hysteresis-aware adaptive DNN partitioning policy reduce P95 inference latency and SLO violations relative to edge-only, cloud-only, fixed-split, and greedy adaptive baselines without excessive repartitioning overhead?</w:t>
            </w:r>
          </w:p>
        </w:tc>
      </w:tr>
      <w:tr>
        <w:tc>
          <w:tcPr>
            <w:tcW w:type="dxa" w:w="2016"/>
            <w:shd w:fill="EAF1F8"/>
            <w:vAlign w:val="center"/>
            <w:tcMar>
              <w:top w:w="110" w:type="dxa"/>
              <w:start w:w="130" w:type="dxa"/>
              <w:bottom w:w="110" w:type="dxa"/>
              <w:end w:w="130" w:type="dxa"/>
            </w:tcMar>
          </w:tcPr>
          <w:p>
            <w:pPr>
              <w:spacing w:after="0" w:line="250" w:lineRule="auto"/>
            </w:pPr>
            <w:r>
              <w:rPr>
                <w:rFonts w:ascii="Aptos" w:hAnsi="Aptos"/>
                <w:color w:val="000000"/>
                <w:sz w:val="16"/>
              </w:rPr>
              <w:t>Keywords</w:t>
            </w:r>
          </w:p>
        </w:tc>
        <w:tc>
          <w:tcPr>
            <w:tcW w:type="dxa" w:w="7632"/>
            <w:shd w:fill="EAF1F8"/>
            <w:vAlign w:val="center"/>
            <w:tcMar>
              <w:top w:w="110" w:type="dxa"/>
              <w:start w:w="130" w:type="dxa"/>
              <w:bottom w:w="110" w:type="dxa"/>
              <w:end w:w="130" w:type="dxa"/>
            </w:tcMar>
          </w:tcPr>
          <w:p>
            <w:pPr>
              <w:spacing w:after="0" w:line="250" w:lineRule="auto"/>
            </w:pPr>
            <w:r>
              <w:rPr>
                <w:rFonts w:ascii="Aptos" w:hAnsi="Aptos"/>
                <w:color w:val="000000"/>
                <w:sz w:val="16"/>
              </w:rPr>
              <w:t>edge-cloud intelligence; split inference; DNN partitioning; adaptive offloading; tail latency; hysteresis</w:t>
            </w:r>
          </w:p>
        </w:tc>
      </w:tr>
      <w:tr>
        <w:tc>
          <w:tcPr>
            <w:tcW w:type="dxa" w:w="2016"/>
            <w:vAlign w:val="center"/>
            <w:tcMar>
              <w:top w:w="110" w:type="dxa"/>
              <w:start w:w="130" w:type="dxa"/>
              <w:bottom w:w="110" w:type="dxa"/>
              <w:end w:w="130" w:type="dxa"/>
            </w:tcMar>
          </w:tcPr>
          <w:p>
            <w:pPr>
              <w:spacing w:after="0" w:line="250" w:lineRule="auto"/>
            </w:pPr>
            <w:r>
              <w:rPr>
                <w:rFonts w:ascii="Aptos" w:hAnsi="Aptos"/>
                <w:color w:val="000000"/>
                <w:sz w:val="16"/>
              </w:rPr>
              <w:t>Topic status</w:t>
            </w:r>
          </w:p>
        </w:tc>
        <w:tc>
          <w:tcPr>
            <w:tcW w:type="dxa" w:w="7632"/>
            <w:vAlign w:val="center"/>
            <w:tcMar>
              <w:top w:w="110" w:type="dxa"/>
              <w:start w:w="130" w:type="dxa"/>
              <w:bottom w:w="110" w:type="dxa"/>
              <w:end w:w="130" w:type="dxa"/>
            </w:tcMar>
          </w:tcPr>
          <w:p>
            <w:pPr>
              <w:spacing w:after="0" w:line="250" w:lineRule="auto"/>
            </w:pPr>
            <w:r>
              <w:rPr>
                <w:rFonts w:ascii="Aptos" w:hAnsi="Aptos"/>
                <w:color w:val="000000"/>
                <w:sz w:val="16"/>
              </w:rPr>
              <w:t>Proposed  change to Approved only after instructor confirmation</w:t>
            </w:r>
          </w:p>
        </w:tc>
      </w:tr>
      <w:tr>
        <w:tc>
          <w:tcPr>
            <w:tcW w:type="dxa" w:w="2016"/>
            <w:shd w:fill="EAF1F8"/>
            <w:vAlign w:val="center"/>
            <w:tcMar>
              <w:top w:w="110" w:type="dxa"/>
              <w:start w:w="130" w:type="dxa"/>
              <w:bottom w:w="110" w:type="dxa"/>
              <w:end w:w="130" w:type="dxa"/>
            </w:tcMar>
          </w:tcPr>
          <w:p>
            <w:pPr>
              <w:spacing w:after="0" w:line="250" w:lineRule="auto"/>
            </w:pPr>
            <w:r>
              <w:rPr>
                <w:rFonts w:ascii="Aptos" w:hAnsi="Aptos"/>
                <w:color w:val="000000"/>
                <w:sz w:val="16"/>
              </w:rPr>
              <w:t>Overleaf</w:t>
            </w:r>
          </w:p>
        </w:tc>
        <w:tc>
          <w:tcPr>
            <w:tcW w:type="dxa" w:w="7632"/>
            <w:shd w:fill="EAF1F8"/>
            <w:vAlign w:val="center"/>
            <w:tcMar>
              <w:top w:w="110" w:type="dxa"/>
              <w:start w:w="130" w:type="dxa"/>
              <w:bottom w:w="110" w:type="dxa"/>
              <w:end w:w="130" w:type="dxa"/>
            </w:tcMar>
          </w:tcPr>
          <w:p>
            <w:pPr>
              <w:spacing w:after="0" w:line="250" w:lineRule="auto"/>
            </w:pPr>
            <w:r>
              <w:rPr>
                <w:rFonts w:ascii="Aptos" w:hAnsi="Aptos"/>
                <w:color w:val="000000"/>
                <w:sz w:val="16"/>
              </w:rPr>
              <w:t>Paste the live project URL</w:t>
            </w:r>
          </w:p>
        </w:tc>
      </w:tr>
      <w:tr>
        <w:tc>
          <w:tcPr>
            <w:tcW w:type="dxa" w:w="2016"/>
            <w:vAlign w:val="center"/>
            <w:tcMar>
              <w:top w:w="110" w:type="dxa"/>
              <w:start w:w="130" w:type="dxa"/>
              <w:bottom w:w="110" w:type="dxa"/>
              <w:end w:w="130" w:type="dxa"/>
            </w:tcMar>
          </w:tcPr>
          <w:p>
            <w:pPr>
              <w:spacing w:after="0" w:line="250" w:lineRule="auto"/>
            </w:pPr>
            <w:r>
              <w:rPr>
                <w:rFonts w:ascii="Aptos" w:hAnsi="Aptos"/>
                <w:color w:val="000000"/>
                <w:sz w:val="16"/>
              </w:rPr>
              <w:t>Instructor access</w:t>
            </w:r>
          </w:p>
        </w:tc>
        <w:tc>
          <w:tcPr>
            <w:tcW w:type="dxa" w:w="7632"/>
            <w:vAlign w:val="center"/>
            <w:tcMar>
              <w:top w:w="110" w:type="dxa"/>
              <w:start w:w="130" w:type="dxa"/>
              <w:bottom w:w="110" w:type="dxa"/>
              <w:end w:w="130" w:type="dxa"/>
            </w:tcMar>
          </w:tcPr>
          <w:p>
            <w:pPr>
              <w:spacing w:after="0" w:line="250" w:lineRule="auto"/>
            </w:pPr>
            <w:r>
              <w:rPr>
                <w:rFonts w:ascii="Aptos" w:hAnsi="Aptos"/>
                <w:color w:val="000000"/>
                <w:sz w:val="16"/>
              </w:rPr>
              <w:t>Confirmed only after the instructor is added as editor</w:t>
            </w:r>
          </w:p>
        </w:tc>
      </w:tr>
      <w:tr>
        <w:tc>
          <w:tcPr>
            <w:tcW w:type="dxa" w:w="2016"/>
            <w:shd w:fill="EAF1F8"/>
            <w:vAlign w:val="center"/>
            <w:tcMar>
              <w:top w:w="110" w:type="dxa"/>
              <w:start w:w="130" w:type="dxa"/>
              <w:bottom w:w="110" w:type="dxa"/>
              <w:end w:w="130" w:type="dxa"/>
            </w:tcMar>
          </w:tcPr>
          <w:p>
            <w:pPr>
              <w:spacing w:after="0" w:line="250" w:lineRule="auto"/>
            </w:pPr>
            <w:r>
              <w:rPr>
                <w:rFonts w:ascii="Aptos" w:hAnsi="Aptos"/>
                <w:color w:val="000000"/>
                <w:sz w:val="16"/>
              </w:rPr>
              <w:t>GitHub</w:t>
            </w:r>
          </w:p>
        </w:tc>
        <w:tc>
          <w:tcPr>
            <w:tcW w:type="dxa" w:w="7632"/>
            <w:shd w:fill="EAF1F8"/>
            <w:vAlign w:val="center"/>
            <w:tcMar>
              <w:top w:w="110" w:type="dxa"/>
              <w:start w:w="130" w:type="dxa"/>
              <w:bottom w:w="110" w:type="dxa"/>
              <w:end w:w="130" w:type="dxa"/>
            </w:tcMar>
          </w:tcPr>
          <w:p>
            <w:pPr>
              <w:spacing w:after="0" w:line="250" w:lineRule="auto"/>
            </w:pPr>
            <w:r>
              <w:rPr>
                <w:rFonts w:ascii="Aptos" w:hAnsi="Aptos"/>
                <w:color w:val="000000"/>
                <w:sz w:val="16"/>
              </w:rPr>
              <w:t>Paste the public repository URL</w:t>
            </w:r>
          </w:p>
        </w:tc>
      </w:tr>
      <w:tr>
        <w:tc>
          <w:tcPr>
            <w:tcW w:type="dxa" w:w="2016"/>
            <w:vAlign w:val="center"/>
            <w:tcMar>
              <w:top w:w="110" w:type="dxa"/>
              <w:start w:w="130" w:type="dxa"/>
              <w:bottom w:w="110" w:type="dxa"/>
              <w:end w:w="130" w:type="dxa"/>
            </w:tcMar>
          </w:tcPr>
          <w:p>
            <w:pPr>
              <w:spacing w:after="0" w:line="250" w:lineRule="auto"/>
            </w:pPr>
            <w:r>
              <w:rPr>
                <w:rFonts w:ascii="Aptos" w:hAnsi="Aptos"/>
                <w:color w:val="000000"/>
                <w:sz w:val="16"/>
              </w:rPr>
              <w:t>Milestone status</w:t>
            </w:r>
          </w:p>
        </w:tc>
        <w:tc>
          <w:tcPr>
            <w:tcW w:type="dxa" w:w="7632"/>
            <w:vAlign w:val="center"/>
            <w:tcMar>
              <w:top w:w="110" w:type="dxa"/>
              <w:start w:w="130" w:type="dxa"/>
              <w:bottom w:w="110" w:type="dxa"/>
              <w:end w:w="130" w:type="dxa"/>
            </w:tcMar>
          </w:tcPr>
          <w:p>
            <w:pPr>
              <w:spacing w:after="0" w:line="250" w:lineRule="auto"/>
            </w:pPr>
            <w:r>
              <w:rPr>
                <w:rFonts w:ascii="Aptos" w:hAnsi="Aptos"/>
                <w:color w:val="000000"/>
                <w:sz w:val="16"/>
              </w:rPr>
              <w:t>C1</w:t>
            </w:r>
          </w:p>
        </w:tc>
      </w:tr>
      <w:tr>
        <w:tc>
          <w:tcPr>
            <w:tcW w:type="dxa" w:w="2016"/>
            <w:shd w:fill="EAF1F8"/>
            <w:vAlign w:val="center"/>
            <w:tcMar>
              <w:top w:w="110" w:type="dxa"/>
              <w:start w:w="130" w:type="dxa"/>
              <w:bottom w:w="110" w:type="dxa"/>
              <w:end w:w="130" w:type="dxa"/>
            </w:tcMar>
          </w:tcPr>
          <w:p>
            <w:pPr>
              <w:spacing w:after="0" w:line="250" w:lineRule="auto"/>
            </w:pPr>
            <w:r>
              <w:rPr>
                <w:rFonts w:ascii="Aptos" w:hAnsi="Aptos"/>
                <w:color w:val="000000"/>
                <w:sz w:val="16"/>
              </w:rPr>
              <w:t>Target venue</w:t>
            </w:r>
          </w:p>
        </w:tc>
        <w:tc>
          <w:tcPr>
            <w:tcW w:type="dxa" w:w="7632"/>
            <w:shd w:fill="EAF1F8"/>
            <w:vAlign w:val="center"/>
            <w:tcMar>
              <w:top w:w="110" w:type="dxa"/>
              <w:start w:w="130" w:type="dxa"/>
              <w:bottom w:w="110" w:type="dxa"/>
              <w:end w:w="130" w:type="dxa"/>
            </w:tcMar>
          </w:tcPr>
          <w:p>
            <w:pPr>
              <w:spacing w:after="0" w:line="250" w:lineRule="auto"/>
            </w:pPr>
            <w:r>
              <w:rPr>
                <w:rFonts w:ascii="Aptos" w:hAnsi="Aptos"/>
                <w:color w:val="000000"/>
                <w:sz w:val="16"/>
              </w:rPr>
              <w:t>Future Generation Computer Systems  preliminary choice subject to instructor approval and current impact-factor verification</w:t>
            </w:r>
          </w:p>
        </w:tc>
      </w:tr>
      <w:tr>
        <w:tc>
          <w:tcPr>
            <w:tcW w:type="dxa" w:w="2016"/>
            <w:vAlign w:val="center"/>
            <w:tcMar>
              <w:top w:w="110" w:type="dxa"/>
              <w:start w:w="130" w:type="dxa"/>
              <w:bottom w:w="110" w:type="dxa"/>
              <w:end w:w="130" w:type="dxa"/>
            </w:tcMar>
          </w:tcPr>
          <w:p>
            <w:pPr>
              <w:spacing w:after="0" w:line="250" w:lineRule="auto"/>
            </w:pPr>
            <w:r>
              <w:rPr>
                <w:rFonts w:ascii="Aptos" w:hAnsi="Aptos"/>
                <w:color w:val="000000"/>
                <w:sz w:val="16"/>
              </w:rPr>
              <w:t>Submission status</w:t>
            </w:r>
          </w:p>
        </w:tc>
        <w:tc>
          <w:tcPr>
            <w:tcW w:type="dxa" w:w="7632"/>
            <w:vAlign w:val="center"/>
            <w:tcMar>
              <w:top w:w="110" w:type="dxa"/>
              <w:start w:w="130" w:type="dxa"/>
              <w:bottom w:w="110" w:type="dxa"/>
              <w:end w:w="130" w:type="dxa"/>
            </w:tcMar>
          </w:tcPr>
          <w:p>
            <w:pPr>
              <w:spacing w:after="0" w:line="250" w:lineRule="auto"/>
            </w:pPr>
            <w:r>
              <w:rPr>
                <w:rFonts w:ascii="Aptos" w:hAnsi="Aptos"/>
                <w:color w:val="000000"/>
                <w:sz w:val="16"/>
              </w:rPr>
              <w:t>Prepared</w:t>
            </w:r>
          </w:p>
        </w:tc>
      </w:tr>
    </w:tbl>
    <w:p>
      <w:pPr>
        <w:spacing w:after="20"/>
      </w:pPr>
    </w:p>
    <w:p>
      <w:pPr>
        <w:pStyle w:val="Heading1"/>
        <w:keepNext/>
      </w:pPr>
      <w:r>
        <w:rPr>
          <w:rFonts w:ascii="Aptos" w:hAnsi="Aptos"/>
          <w:b/>
          <w:color w:val="000000"/>
          <w:sz w:val="30"/>
        </w:rPr>
        <w:t>10  Initial Academic References</w:t>
      </w:r>
    </w:p>
    <w:p>
      <w:pPr>
        <w:spacing w:after="160" w:line="259" w:lineRule="auto"/>
        <w:ind w:left="403" w:hanging="403"/>
      </w:pPr>
      <w:r>
        <w:rPr>
          <w:rFonts w:ascii="Aptos" w:hAnsi="Aptos"/>
          <w:color w:val="000000"/>
          <w:sz w:val="19"/>
        </w:rPr>
        <w:t>[1] Y. Kang, J. Hauswald, C. Gao, A. Rovinski, T. Mudge, J. Mars, and L. Tang, “Neurosurgeon: Collaborative Intelligence Between the Cloud and Mobile Edge,” in Proceedings of ASPLOS, 2017, pp. 615-629. doi: 10.1145/3037697.3037698.</w:t>
      </w:r>
    </w:p>
    <w:p>
      <w:pPr>
        <w:spacing w:after="160" w:line="259" w:lineRule="auto"/>
        <w:ind w:left="403" w:hanging="403"/>
      </w:pPr>
      <w:r>
        <w:rPr>
          <w:rFonts w:ascii="Aptos" w:hAnsi="Aptos"/>
          <w:color w:val="000000"/>
          <w:sz w:val="19"/>
        </w:rPr>
        <w:t>[2] S. Teerapittayanon, B. McDanel, and H. T. Kung, “Distributed Deep Neural Networks over the Cloud, the Edge and End Devices,” in Proceedings of the IEEE International Conference on Distributed Computing Systems, 2017, pp. 328-339. doi: 10.1109/ICDCS.2017.226.</w:t>
      </w:r>
    </w:p>
    <w:p>
      <w:pPr>
        <w:spacing w:after="160" w:line="259" w:lineRule="auto"/>
        <w:ind w:left="403" w:hanging="403"/>
      </w:pPr>
      <w:r>
        <w:rPr>
          <w:rFonts w:ascii="Aptos" w:hAnsi="Aptos"/>
          <w:color w:val="000000"/>
          <w:sz w:val="19"/>
        </w:rPr>
        <w:t>[3] E. Li, L. Zeng, Z. Zhou, and X. Chen, “Edge AI: On-Demand Accelerating Deep Neural Network Inference via Edge Computing,” IEEE Transactions on Wireless Communications, vol. 19, no. 1, pp. 447-457, 2020. doi: 10.1109/TWC.2019.2946140.</w:t>
      </w:r>
    </w:p>
    <w:p>
      <w:pPr>
        <w:spacing w:after="160" w:line="259" w:lineRule="auto"/>
        <w:ind w:left="403" w:hanging="403"/>
      </w:pPr>
      <w:r>
        <w:rPr>
          <w:rFonts w:ascii="Aptos" w:hAnsi="Aptos"/>
          <w:color w:val="000000"/>
          <w:sz w:val="19"/>
        </w:rPr>
        <w:t>[4] F. McNamee, S. Dustdar, P. Kilpatrick, W. Shi, I. T. A. Spence, and B. Varghese, “The Case for Adaptive Deep Neural Networks in Edge Computing,” in Proceedings of the IEEE International Conference on Cloud Computing, 2021, pp. 43-52. doi: 10.1109/CLOUD53861.2021.00017.</w:t>
      </w:r>
    </w:p>
    <w:p>
      <w:pPr>
        <w:spacing w:after="160" w:line="259" w:lineRule="auto"/>
        <w:ind w:left="403" w:hanging="403"/>
      </w:pPr>
      <w:r>
        <w:rPr>
          <w:rFonts w:ascii="Aptos" w:hAnsi="Aptos"/>
          <w:color w:val="000000"/>
          <w:sz w:val="19"/>
        </w:rPr>
        <w:t>[5] G. Liu, F. Dai, X. Xu, X. Fu, W. Dou, N. Kumar, and M. Bilal, “An Adaptive DNN Inference Acceleration Framework with End-Edge-Cloud Collaborative Computing,” Future Generation Computer Systems, vol. 140, pp. 422-435, 2023. doi: 10.1016/j.future.2022.10.033.</w:t>
      </w:r>
    </w:p>
    <w:p>
      <w:pPr>
        <w:spacing w:after="160" w:line="259" w:lineRule="auto"/>
        <w:ind w:left="403" w:hanging="403"/>
      </w:pPr>
      <w:r>
        <w:rPr>
          <w:rFonts w:ascii="Aptos" w:hAnsi="Aptos"/>
          <w:color w:val="000000"/>
          <w:sz w:val="19"/>
        </w:rPr>
        <w:t>[6] R. Viramontes and A. Davoodi, “DIME: Distributed Inference Model Estimation for Minimizing Profiled Latency,” in Proceedings of the IEEE International Conference on Smart Computing, 2024, pp. 356-361. doi: 10.1109/SMARTCOMP61445.2024.00081.</w:t>
      </w:r>
    </w:p>
    <w:p>
      <w:pPr>
        <w:spacing w:after="160" w:line="259" w:lineRule="auto"/>
        <w:ind w:left="403" w:hanging="403"/>
      </w:pPr>
      <w:r>
        <w:rPr>
          <w:rFonts w:ascii="Aptos" w:hAnsi="Aptos"/>
          <w:color w:val="000000"/>
          <w:sz w:val="19"/>
        </w:rPr>
        <w:t>[7] D. Rosendo, A. Costan, P. Valduriez, and G. Antoniu, “Distributed Intelligence on the Edge-to-Cloud Continuum: A Systematic Literature Review,” Journal of Parallel and Distributed Computing, vol. 166, pp. 71-94, 2022. doi: 10.1016/j.jpdc.2022.04.004.</w:t>
      </w:r>
    </w:p>
    <w:p>
      <w:pPr>
        <w:pStyle w:val="Heading2"/>
        <w:keepNext/>
      </w:pPr>
      <w:r>
        <w:rPr>
          <w:rFonts w:ascii="Aptos" w:hAnsi="Aptos"/>
          <w:b/>
          <w:color w:val="000000"/>
          <w:sz w:val="23"/>
        </w:rPr>
        <w:t>Reference Verification Links</w:t>
      </w:r>
    </w:p>
    <w:p>
      <w:hyperlink r:id="rId10">
        <w:r>
          <w:rPr>
            <w:rFonts w:ascii="Aptos" w:hAnsi="Aptos"/>
            <w:color w:val="0563C1"/>
            <w:u w:val="single"/>
          </w:rPr>
          <w:t>10.1145/3037697.3037698</w:t>
        </w:r>
      </w:hyperlink>
      <w:r>
        <w:rPr>
          <w:rFonts w:ascii="Aptos" w:hAnsi="Aptos"/>
          <w:color w:val="777777"/>
          <w:sz w:val="17"/>
        </w:rPr>
        <w:t xml:space="preserve">   |   </w:t>
      </w:r>
      <w:hyperlink r:id="rId11">
        <w:r>
          <w:rPr>
            <w:rFonts w:ascii="Aptos" w:hAnsi="Aptos"/>
            <w:color w:val="0563C1"/>
            <w:u w:val="single"/>
          </w:rPr>
          <w:t>10.1109/ICDCS.2017.226</w:t>
        </w:r>
      </w:hyperlink>
      <w:r>
        <w:rPr>
          <w:rFonts w:ascii="Aptos" w:hAnsi="Aptos"/>
          <w:color w:val="777777"/>
          <w:sz w:val="17"/>
        </w:rPr>
        <w:t xml:space="preserve">   |   </w:t>
      </w:r>
      <w:hyperlink r:id="rId12">
        <w:r>
          <w:rPr>
            <w:rFonts w:ascii="Aptos" w:hAnsi="Aptos"/>
            <w:color w:val="0563C1"/>
            <w:u w:val="single"/>
          </w:rPr>
          <w:t>10.1109/TWC.2019.2946140</w:t>
        </w:r>
      </w:hyperlink>
      <w:r>
        <w:rPr>
          <w:rFonts w:ascii="Aptos" w:hAnsi="Aptos"/>
          <w:color w:val="777777"/>
          <w:sz w:val="17"/>
        </w:rPr>
        <w:t xml:space="preserve">   |   </w:t>
      </w:r>
      <w:hyperlink r:id="rId13">
        <w:r>
          <w:rPr>
            <w:rFonts w:ascii="Aptos" w:hAnsi="Aptos"/>
            <w:color w:val="0563C1"/>
            <w:u w:val="single"/>
          </w:rPr>
          <w:t>10.1109/CLOUD53861.2021.00017</w:t>
        </w:r>
      </w:hyperlink>
      <w:r>
        <w:rPr>
          <w:rFonts w:ascii="Aptos" w:hAnsi="Aptos"/>
          <w:color w:val="777777"/>
          <w:sz w:val="17"/>
        </w:rPr>
        <w:t xml:space="preserve">   |   </w:t>
      </w:r>
      <w:hyperlink r:id="rId14">
        <w:r>
          <w:rPr>
            <w:rFonts w:ascii="Aptos" w:hAnsi="Aptos"/>
            <w:color w:val="0563C1"/>
            <w:u w:val="single"/>
          </w:rPr>
          <w:t>10.1016/j.future.2022.10.033</w:t>
        </w:r>
      </w:hyperlink>
      <w:r>
        <w:rPr>
          <w:rFonts w:ascii="Aptos" w:hAnsi="Aptos"/>
          <w:color w:val="777777"/>
          <w:sz w:val="17"/>
        </w:rPr>
        <w:t xml:space="preserve">   |   </w:t>
      </w:r>
      <w:hyperlink r:id="rId15">
        <w:r>
          <w:rPr>
            <w:rFonts w:ascii="Aptos" w:hAnsi="Aptos"/>
            <w:color w:val="0563C1"/>
            <w:u w:val="single"/>
          </w:rPr>
          <w:t>10.1109/SMARTCOMP61445.2024.00081</w:t>
        </w:r>
      </w:hyperlink>
      <w:r>
        <w:rPr>
          <w:rFonts w:ascii="Aptos" w:hAnsi="Aptos"/>
          <w:color w:val="777777"/>
          <w:sz w:val="17"/>
        </w:rPr>
        <w:t xml:space="preserve">   |   </w:t>
      </w:r>
      <w:hyperlink r:id="rId16">
        <w:r>
          <w:rPr>
            <w:rFonts w:ascii="Aptos" w:hAnsi="Aptos"/>
            <w:color w:val="0563C1"/>
            <w:u w:val="single"/>
          </w:rPr>
          <w:t>10.1016/j.jpdc.2022.04.004</w:t>
        </w:r>
      </w:hyperlink>
    </w:p>
    <w:p>
      <w:pPr>
        <w:pStyle w:val="Heading1"/>
        <w:keepNext/>
      </w:pPr>
      <w:r>
        <w:rPr>
          <w:rFonts w:ascii="Aptos" w:hAnsi="Aptos"/>
          <w:b/>
          <w:color w:val="000000"/>
          <w:sz w:val="30"/>
        </w:rPr>
        <w:t>Cutoff 1 Submission Check</w:t>
      </w:r>
    </w:p>
    <w:p>
      <w:pPr>
        <w:spacing w:after="80"/>
        <w:ind w:left="331" w:hanging="331"/>
      </w:pPr>
      <w:r>
        <w:rPr>
          <w:rFonts w:ascii="Aptos" w:hAnsi="Aptos"/>
          <w:color w:val="000000"/>
          <w:sz w:val="20"/>
        </w:rPr>
        <w:t>☐  Two students, roles, IDs, emails, Group ID, and Section are entered.</w:t>
      </w:r>
    </w:p>
    <w:p>
      <w:pPr>
        <w:spacing w:after="80"/>
        <w:ind w:left="331" w:hanging="331"/>
      </w:pPr>
      <w:r>
        <w:rPr>
          <w:rFonts w:ascii="Aptos" w:hAnsi="Aptos"/>
          <w:color w:val="000000"/>
          <w:sz w:val="20"/>
        </w:rPr>
        <w:t>☐  Instructor has approved the title and the Sheet status is changed from Proposed to Approved.</w:t>
      </w:r>
    </w:p>
    <w:p>
      <w:pPr>
        <w:spacing w:after="80"/>
        <w:ind w:left="331" w:hanging="331"/>
      </w:pPr>
      <w:r>
        <w:rPr>
          <w:rFonts w:ascii="Aptos" w:hAnsi="Aptos"/>
          <w:color w:val="000000"/>
          <w:sz w:val="20"/>
        </w:rPr>
        <w:t>☐  Overleaf project uses the required naming convention and the instructor has editor access.</w:t>
      </w:r>
    </w:p>
    <w:p>
      <w:pPr>
        <w:spacing w:after="80"/>
        <w:ind w:left="331" w:hanging="331"/>
      </w:pPr>
      <w:r>
        <w:rPr>
          <w:rFonts w:ascii="Aptos" w:hAnsi="Aptos"/>
          <w:color w:val="000000"/>
          <w:sz w:val="20"/>
        </w:rPr>
        <w:t>☐  Public GitHub repository exists and its link opens without requesting permission.</w:t>
      </w:r>
    </w:p>
    <w:p>
      <w:pPr>
        <w:spacing w:after="80"/>
        <w:ind w:left="331" w:hanging="331"/>
      </w:pPr>
      <w:r>
        <w:rPr>
          <w:rFonts w:ascii="Aptos" w:hAnsi="Aptos"/>
          <w:color w:val="000000"/>
          <w:sz w:val="20"/>
        </w:rPr>
        <w:t>☐  All Google Sheet fields are complete and the same title appears in the proposal, Overleaf, GitHub, and Sheet.</w:t>
      </w:r>
    </w:p>
    <w:p>
      <w:pPr>
        <w:spacing w:after="80"/>
        <w:ind w:left="331" w:hanging="331"/>
      </w:pPr>
      <w:r>
        <w:rPr>
          <w:rFonts w:ascii="Aptos" w:hAnsi="Aptos"/>
          <w:color w:val="000000"/>
          <w:sz w:val="20"/>
        </w:rPr>
        <w:t>☐  The submitted Word or PDF opens correctly and contains at least five verified academic references.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7"/>
      </w:rPr>
      <w:t xml:space="preserve">Phase 1 Research Proposal  |  </w:t>
    </w:r>
    <w:r>
      <w:rPr>
        <w:rFonts w:ascii="Aptos" w:hAnsi="Aptos"/>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45/3037697.3037698" TargetMode="External"/><Relationship Id="rId11" Type="http://schemas.openxmlformats.org/officeDocument/2006/relationships/hyperlink" Target="https://doi.org/10.1109/ICDCS.2017.226" TargetMode="External"/><Relationship Id="rId12" Type="http://schemas.openxmlformats.org/officeDocument/2006/relationships/hyperlink" Target="https://doi.org/10.1109/TWC.2019.2946140" TargetMode="External"/><Relationship Id="rId13" Type="http://schemas.openxmlformats.org/officeDocument/2006/relationships/hyperlink" Target="https://doi.org/10.1109/CLOUD53861.2021.00017" TargetMode="External"/><Relationship Id="rId14" Type="http://schemas.openxmlformats.org/officeDocument/2006/relationships/hyperlink" Target="https://doi.org/10.1016/j.future.2022.10.033" TargetMode="External"/><Relationship Id="rId15" Type="http://schemas.openxmlformats.org/officeDocument/2006/relationships/hyperlink" Target="https://doi.org/10.1109/SMARTCOMP61445.2024.00081" TargetMode="External"/><Relationship Id="rId16" Type="http://schemas.openxmlformats.org/officeDocument/2006/relationships/hyperlink" Target="https://doi.org/10.1016/j.jpdc.2022.04.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Research Proposal</dc:title>
  <dc:subject>Edge-Cloud Intelligence and Adaptive DNN Split Inference</dc:subject>
  <dc:creator>python-docx</dc:creator>
  <cp:keywords>edge-cloud intelligence, split inference, DNN partitioning, adaptive offloading, tail latency</cp:keywords>
  <dc:description>Prepared for Cutoff 1 of the 100-Day Cloud Computing Research Assignment.</dc:description>
  <cp:lastModifiedBy/>
  <cp:revision>1</cp:revision>
  <dcterms:created xsi:type="dcterms:W3CDTF">2013-12-23T23:15:00Z</dcterms:created>
  <dcterms:modified xsi:type="dcterms:W3CDTF">2013-12-23T23:15:00Z</dcterms:modified>
  <cp:category/>
</cp:coreProperties>
</file>