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rtl w:val="0"/>
        </w:rPr>
        <w:t xml:space="preserve">Environmental Social and Governance  </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2"/>
          <w:szCs w:val="22"/>
        </w:rPr>
      </w:pPr>
      <w:bookmarkStart w:colFirst="0" w:colLast="0" w:name="_s19g4tsmwde" w:id="0"/>
      <w:bookmarkEnd w:id="0"/>
      <w:r w:rsidDel="00000000" w:rsidR="00000000" w:rsidRPr="00000000">
        <w:rPr>
          <w:b w:val="1"/>
          <w:bCs w:val="1"/>
          <w:color w:val="000000"/>
          <w:sz w:val="22"/>
          <w:szCs w:val="22"/>
          <w:rtl w:val="0"/>
        </w:rPr>
        <w:t xml:space="preserve">Environmental</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1. Carbon Reduction Enabled by Algorithmic Optimization</w:t>
        <w:br w:type="textWrapping"/>
      </w:r>
      <w:r w:rsidDel="00000000" w:rsidR="00000000" w:rsidRPr="00000000">
        <w:rPr>
          <w:rtl w:val="0"/>
        </w:rPr>
        <w:t xml:space="preserve">PickMe demonstrates material environmental value creation through its high reliance on technology-driven efficiency rather than physical fleet ownership. The company’s proprietary </w:t>
      </w:r>
      <w:r w:rsidDel="00000000" w:rsidR="00000000" w:rsidRPr="00000000">
        <w:rPr>
          <w:i w:val="1"/>
          <w:iCs w:val="1"/>
          <w:rtl w:val="0"/>
        </w:rPr>
        <w:t xml:space="preserve">Mission Control</w:t>
      </w:r>
      <w:r w:rsidDel="00000000" w:rsidR="00000000" w:rsidRPr="00000000">
        <w:rPr>
          <w:rtl w:val="0"/>
        </w:rPr>
        <w:t xml:space="preserve"> routing engine optimizes real-time vehicle allocation and reduces empty mileage (“deadheading”). This materially lowers fuel consumption per passenger-kilometer and minimizes idle engine time, both primary contributors to transport-related emissions. The operational model facilitates a measurable reduction in unnecessary kilometres travelled across the network, positioning PickMe’s environmental strategy as one built on “embedded efficiency” rather than capital-intensive decarbonization initiatives.</w:t>
      </w:r>
    </w:p>
    <w:p w:rsidR="00000000" w:rsidDel="00000000" w:rsidP="00000000" w:rsidRDefault="00000000" w:rsidRPr="00000000" w14:paraId="00000005">
      <w:pPr>
        <w:rPr>
          <w:b w:val="1"/>
          <w:bCs w:val="1"/>
        </w:rPr>
      </w:pPr>
      <w:r w:rsidDel="00000000" w:rsidR="00000000" w:rsidRPr="00000000">
        <w:rPr>
          <w:b w:val="1"/>
          <w:bCs w:val="1"/>
          <w:rtl w:val="0"/>
        </w:rPr>
        <w:t xml:space="preserve">2. Asset-Light Model Supporting Lower Lifecycle Footprint</w:t>
      </w:r>
    </w:p>
    <w:p w:rsidR="00000000" w:rsidDel="00000000" w:rsidP="00000000" w:rsidRDefault="00000000" w:rsidRPr="00000000" w14:paraId="00000006">
      <w:pPr>
        <w:rPr/>
      </w:pPr>
      <w:r w:rsidDel="00000000" w:rsidR="00000000" w:rsidRPr="00000000">
        <w:rPr>
          <w:rtl w:val="0"/>
        </w:rPr>
        <w:t xml:space="preserve">Unlike traditional logistics and ride-hailing models with owned fleets, PickMe operates an asset-light aggregation platform. This structure reduces upstream emissions linked to vehicle manufacture, maintenance, and end-of-life disposal. Further, the company’s multi-tier fleet—integrating tuk-tuks, cars, vans, and trucks—improves utilization rates by enabling cross-category allocation (ride-hailing and deliveries). From an ESG investment standpoint, this reduces duplication of transport assets in the ecosystem and supports a shift toward shared mobility, indirectly limiting incremental vehicle ownership and related urban infrastructure strain (parking, congestion, road capacity).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Cloud Infrastructure and Metrics Reporting Challenges</w:t>
        <w:br w:type="textWrapping"/>
      </w:r>
      <w:r w:rsidDel="00000000" w:rsidR="00000000" w:rsidRPr="00000000">
        <w:rPr>
          <w:rtl w:val="0"/>
        </w:rPr>
        <w:t xml:space="preserve">PickMe has migrated core computing infrastructure to energy-efficient cloud architecture (Google Cloud), a step that aligns with digital decarbonization trends in the mobility platform sector. However, the company materially underperforms on environmental disclosure. While a formal Environmental Policy exists, there is no quantitative reporting on:</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Scope 1, 2, or 3 greenhouse gas emissions (GRI 305)</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Energy intensity per trip or revenue unit</w:t>
        <w:br w:type="textWrapping"/>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Water management metrics</w:t>
        <w:br w:type="textWrapping"/>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Waste or e-waste controls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lack of disclosure results in scoring deductions in ESG frameworks that prioritize transparency, comparability, and auditability. Despite these gaps, pilot initiatives—including EV integration and university-linked R&amp;D partnerships (University of Moratuwa)—suggest the early stages of a structured transition strategy, though timelines and targets remain undefined.</w:t>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tm7h856v0fa" w:id="1"/>
      <w:bookmarkEnd w:id="1"/>
      <w:r w:rsidDel="00000000" w:rsidR="00000000" w:rsidRPr="00000000">
        <w:rPr>
          <w:b w:val="1"/>
          <w:bCs w:val="1"/>
          <w:color w:val="000000"/>
          <w:sz w:val="24"/>
          <w:szCs w:val="24"/>
          <w:rtl w:val="0"/>
        </w:rPr>
        <w:t xml:space="preserve">4. Platform-Driven Asset Utilization Advantage</w:t>
      </w:r>
    </w:p>
    <w:p w:rsidR="00000000" w:rsidDel="00000000" w:rsidP="00000000" w:rsidRDefault="00000000" w:rsidRPr="00000000" w14:paraId="0000000F">
      <w:pPr>
        <w:spacing w:after="240" w:before="240" w:lineRule="auto"/>
        <w:rPr/>
      </w:pPr>
      <w:r w:rsidDel="00000000" w:rsidR="00000000" w:rsidRPr="00000000">
        <w:rPr>
          <w:rtl w:val="0"/>
        </w:rPr>
        <w:t xml:space="preserve">PickMe demonstrates a material operational efficiency advantage relative to the informal transport segment, enabled through algorithmic dispatching and digital supply–demand matching. Based on available operational data, platform-enabled drivers record significantly higher utilization rates and trip turnover compared to the traditional unstructured “park-and-search” model.</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Vehicle Utilization:</w:t>
      </w:r>
      <w:r w:rsidDel="00000000" w:rsidR="00000000" w:rsidRPr="00000000">
        <w:rPr>
          <w:rtl w:val="0"/>
        </w:rPr>
        <w:t xml:space="preserve"> Platform drivers operate at approximately </w:t>
      </w:r>
      <w:r w:rsidDel="00000000" w:rsidR="00000000" w:rsidRPr="00000000">
        <w:rPr>
          <w:b w:val="1"/>
          <w:bCs w:val="1"/>
          <w:rtl w:val="0"/>
        </w:rPr>
        <w:t xml:space="preserve">81% utilization</w:t>
      </w:r>
      <w:r w:rsidDel="00000000" w:rsidR="00000000" w:rsidRPr="00000000">
        <w:rPr>
          <w:rtl w:val="0"/>
        </w:rPr>
        <w:t xml:space="preserve">, compared to </w:t>
      </w:r>
      <w:r w:rsidDel="00000000" w:rsidR="00000000" w:rsidRPr="00000000">
        <w:rPr>
          <w:b w:val="1"/>
          <w:bCs w:val="1"/>
          <w:rtl w:val="0"/>
        </w:rPr>
        <w:t xml:space="preserve">39%</w:t>
      </w:r>
      <w:r w:rsidDel="00000000" w:rsidR="00000000" w:rsidRPr="00000000">
        <w:rPr>
          <w:rtl w:val="0"/>
        </w:rPr>
        <w:t xml:space="preserve"> in the traditional three-wheeler market.</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Trip Productivity:</w:t>
      </w:r>
      <w:r w:rsidDel="00000000" w:rsidR="00000000" w:rsidRPr="00000000">
        <w:rPr>
          <w:rtl w:val="0"/>
        </w:rPr>
        <w:t xml:space="preserve"> Digital drivers complete </w:t>
      </w:r>
      <w:r w:rsidDel="00000000" w:rsidR="00000000" w:rsidRPr="00000000">
        <w:rPr>
          <w:b w:val="1"/>
          <w:bCs w:val="1"/>
          <w:rtl w:val="0"/>
        </w:rPr>
        <w:t xml:space="preserve">17.3 trips per day</w:t>
      </w:r>
      <w:r w:rsidDel="00000000" w:rsidR="00000000" w:rsidRPr="00000000">
        <w:rPr>
          <w:rtl w:val="0"/>
        </w:rPr>
        <w:t xml:space="preserve">, more than double the industry baseline of </w:t>
      </w:r>
      <w:r w:rsidDel="00000000" w:rsidR="00000000" w:rsidRPr="00000000">
        <w:rPr>
          <w:b w:val="1"/>
          <w:bCs w:val="1"/>
          <w:rtl w:val="0"/>
        </w:rPr>
        <w:t xml:space="preserve">7.2 trips</w:t>
      </w:r>
      <w:r w:rsidDel="00000000" w:rsidR="00000000" w:rsidRPr="00000000">
        <w:rPr>
          <w:rtl w:val="0"/>
        </w:rPr>
        <w:t xml:space="preserve">.</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This efficiency materially reduces redundant travel time and idle vehicle capacity—two key contributors to emissions intensity in the transport ecosystem. As a result, the platform enables a lower number of vehicles and lower total mileage to fulfill equivalent passenger demand. From an ESG assessment perspective, these utilization gains function as an indirect mitigation mechanism for </w:t>
      </w:r>
      <w:r w:rsidDel="00000000" w:rsidR="00000000" w:rsidRPr="00000000">
        <w:rPr>
          <w:b w:val="1"/>
          <w:bCs w:val="1"/>
          <w:rtl w:val="0"/>
        </w:rPr>
        <w:t xml:space="preserve">Scope 3 emissions</w:t>
      </w:r>
      <w:r w:rsidDel="00000000" w:rsidR="00000000" w:rsidRPr="00000000">
        <w:rPr>
          <w:rtl w:val="0"/>
        </w:rPr>
        <w:t xml:space="preserve"> associated with the broader mobility network.</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5. Structural Decarbonization Through Shared Mobility and Demand Substitution</w:t>
      </w:r>
    </w:p>
    <w:p w:rsidR="00000000" w:rsidDel="00000000" w:rsidP="00000000" w:rsidRDefault="00000000" w:rsidRPr="00000000" w14:paraId="00000014">
      <w:pPr>
        <w:spacing w:after="240" w:before="240" w:lineRule="auto"/>
        <w:rPr/>
      </w:pPr>
      <w:r w:rsidDel="00000000" w:rsidR="00000000" w:rsidRPr="00000000">
        <w:rPr>
          <w:rtl w:val="0"/>
        </w:rPr>
        <w:t xml:space="preserve">PickMe’s operating model contributes to indirect emissions reduction by shifting consumer behaviour away from private vehicle ownership toward shared mobility. This shift is particularly relevant in Sri Lanka, where vehicle imports are heavily restricted and the marginal environmental impact of new internal combustion vehicle additions remains high.</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Reduction in Upstream Emissions Exposure:</w:t>
        <w:br w:type="textWrapping"/>
      </w:r>
      <w:r w:rsidDel="00000000" w:rsidR="00000000" w:rsidRPr="00000000">
        <w:rPr>
          <w:rtl w:val="0"/>
        </w:rPr>
        <w:t xml:space="preserve"> By discouraging incremental vehicle purchases, the platform reduces the embedded carbon footprint associated with vehicle manufacturing, shipping, and end-of-life disposal. While not yet quantified in reporting frameworks, this shift aligns with circular economy principles and supports a gradual reduction in lifecycle emissions intensity within the national mobility system.</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Complementarity with Public Transport:</w:t>
        <w:br w:type="textWrapping"/>
      </w:r>
      <w:r w:rsidDel="00000000" w:rsidR="00000000" w:rsidRPr="00000000">
        <w:rPr>
          <w:rtl w:val="0"/>
        </w:rPr>
        <w:t xml:space="preserve"> PickMe increasingly functions as a first- and last-mile connector rather than a full-journey substitute. This positioning strengthens the usability of low-carbon public transport networks (rail and bus), particularly in urban and peri-urban environments where distance and accessibility constraints previously reduced adoption. The model therefore contributes to system-level emissions reduction by enabling modal substitution toward lower-intensity transport options.</w:t>
        <w:br w:type="textWrapping"/>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Social</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1. Economic Participation and Gig-Economy Stabilization</w:t>
      </w:r>
    </w:p>
    <w:p w:rsidR="00000000" w:rsidDel="00000000" w:rsidP="00000000" w:rsidRDefault="00000000" w:rsidRPr="00000000" w14:paraId="0000001B">
      <w:pPr>
        <w:rPr/>
      </w:pPr>
      <w:r w:rsidDel="00000000" w:rsidR="00000000" w:rsidRPr="00000000">
        <w:rPr>
          <w:rtl w:val="0"/>
        </w:rPr>
        <w:t xml:space="preserve">PickMe plays a significant role in Sri Lanka’s informal and semi-formal labour market, enabling income generation for over 100,000 drivers across the platform. The company demonstrated operational adaptability during the pandemic by reallocating capacity from passenger mobility to essential delivery services, mobilizing over 1,000 drivers for emergency logistics. This flexibility allowed the platform to sustain workforce engagement during a period of restricted economic activity and aligned the company with livelihood-support characteristics typical of resilient digital labour ecosystems. While formal employment benefits remain limited due to the independent contractor model, the platform functions as an income stabilizer for worker segments highly exposed to macroeconomic volatility.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2. Gender Inclusion and Human Rights Enablement</w:t>
        <w:br w:type="textWrapping"/>
      </w:r>
      <w:r w:rsidDel="00000000" w:rsidR="00000000" w:rsidRPr="00000000">
        <w:rPr>
          <w:rtl w:val="0"/>
        </w:rPr>
        <w:t xml:space="preserve"> PickMe achieves strong performance in the Human Rights and Inclusion categories, supported by its partnership with the International Finance Corporation (IFC). Initiatives include operational safety protocols and product-level features such as the “Lady First” ride option, designed to enhance perceived safety and encourage female participation as both riders and drivers. Female workforce participation has doubled year-over-year, with the platform now reporting more than 1,000 active women drivers. This progression contributes to mobility access equity in a market where transportation barriers disproportionately affect gender-based workforce participation. PickMe’s gender-focused product strategy enhances both social outcomes and revenue scalability. The company’s initiatives to address mobility barriers for women—an underserved demographic in Sri Lanka’s transport ecosystem—position gender inclusion as a direct business growth lever rather than solely a CSR feature.</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b w:val="1"/>
          <w:bCs w:val="1"/>
          <w:rtl w:val="0"/>
        </w:rPr>
        <w:t xml:space="preserve">Revenue Growth Opportunity:</w:t>
        <w:br w:type="textWrapping"/>
      </w:r>
      <w:r w:rsidDel="00000000" w:rsidR="00000000" w:rsidRPr="00000000">
        <w:rPr>
          <w:rtl w:val="0"/>
        </w:rPr>
        <w:t xml:space="preserve"> Internal and industry research indicates that reducing the gender participation gap in ride-hailing could yield a </w:t>
      </w:r>
      <w:r w:rsidDel="00000000" w:rsidR="00000000" w:rsidRPr="00000000">
        <w:rPr>
          <w:b w:val="1"/>
          <w:bCs w:val="1"/>
          <w:rtl w:val="0"/>
        </w:rPr>
        <w:t xml:space="preserve">26.7% uplift in annual platform revenue</w:t>
      </w:r>
      <w:r w:rsidDel="00000000" w:rsidR="00000000" w:rsidRPr="00000000">
        <w:rPr>
          <w:rtl w:val="0"/>
        </w:rPr>
        <w:t xml:space="preserve">, driven by increased trip frequency and adoption among female users currently underserved by informal transport options.</w:t>
        <w:br w:type="textWrapping"/>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b w:val="1"/>
          <w:bCs w:val="1"/>
          <w:rtl w:val="0"/>
        </w:rPr>
        <w:t xml:space="preserve">Product-Level Safety Enhancements:</w:t>
        <w:br w:type="textWrapping"/>
      </w:r>
      <w:r w:rsidDel="00000000" w:rsidR="00000000" w:rsidRPr="00000000">
        <w:rPr>
          <w:rtl w:val="0"/>
        </w:rPr>
        <w:t xml:space="preserve"> Platform interventions, including the </w:t>
      </w:r>
      <w:r w:rsidDel="00000000" w:rsidR="00000000" w:rsidRPr="00000000">
        <w:rPr>
          <w:i w:val="1"/>
          <w:iCs w:val="1"/>
          <w:rtl w:val="0"/>
        </w:rPr>
        <w:t xml:space="preserve">Lady First</w:t>
      </w:r>
      <w:r w:rsidDel="00000000" w:rsidR="00000000" w:rsidRPr="00000000">
        <w:rPr>
          <w:rtl w:val="0"/>
        </w:rPr>
        <w:t xml:space="preserve"> matching option (women drivers for women riders) and in-app emergency response functionality, address key deterrents such as safety perception, harassment concerns, and limited access after dark. These features unlock latent demand and diversify the customer base without materially increasing operating cost.</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3. Safety Infrastructure and Contractor Support Systems</w:t>
        <w:br w:type="textWrapping"/>
      </w:r>
      <w:r w:rsidDel="00000000" w:rsidR="00000000" w:rsidRPr="00000000">
        <w:rPr>
          <w:rtl w:val="0"/>
        </w:rPr>
        <w:t xml:space="preserve"> PickMe distinguishes itself relative to global gig-economy comparators by offering select worker protection mechanisms that extend beyond industry minimum expectations. These include insurance coverage for drivers and dependents, structured welfare benefits delivered through the </w:t>
      </w:r>
      <w:r w:rsidDel="00000000" w:rsidR="00000000" w:rsidRPr="00000000">
        <w:rPr>
          <w:i w:val="1"/>
          <w:iCs w:val="1"/>
          <w:rtl w:val="0"/>
        </w:rPr>
        <w:t xml:space="preserve">Nena Pahana</w:t>
      </w:r>
      <w:r w:rsidDel="00000000" w:rsidR="00000000" w:rsidRPr="00000000">
        <w:rPr>
          <w:rtl w:val="0"/>
        </w:rPr>
        <w:t xml:space="preserve"> education initiative, and a dedicated 24-hour risk-management and emergency response framework integrated into the platform. Operational risk controls—such as GPS-based live tracking, standardized onboarding processes, and behaviour monitoring—have enabled PickMe to secure high-trust operational authorizations, including exclusive airport licensing approval in 2023. These measures demonstrate investment in customer protection and platform governance, mitigating reputational and compliance risks in a sector historically affected by safety-related controversies.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4. Pricing Equilibrium During Macroeconomic Shocks</w:t>
      </w:r>
    </w:p>
    <w:p w:rsidR="00000000" w:rsidDel="00000000" w:rsidP="00000000" w:rsidRDefault="00000000" w:rsidRPr="00000000" w14:paraId="00000024">
      <w:pPr>
        <w:spacing w:after="240" w:before="240" w:lineRule="auto"/>
        <w:rPr/>
      </w:pPr>
      <w:r w:rsidDel="00000000" w:rsidR="00000000" w:rsidRPr="00000000">
        <w:rPr>
          <w:rtl w:val="0"/>
        </w:rPr>
        <w:t xml:space="preserve">PickMe has demonstrated the ability to provide price stability during periods of macroeconomic disruption, positioning the platform as a functional stabilizer in the transport ecosystem. During the 2024 fuel shortage and inflationary spike, fare dynamics diverged significantly between the regulated platform environment and the informal market.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Pricing Benchmark:</w:t>
        <w:br w:type="textWrapping"/>
      </w:r>
      <w:r w:rsidDel="00000000" w:rsidR="00000000" w:rsidRPr="00000000">
        <w:rPr>
          <w:rtl w:val="0"/>
        </w:rPr>
        <w:t xml:space="preserve"> At peak volatility, informal three-wheeler operators increased fares to approximately </w:t>
      </w:r>
      <w:r w:rsidDel="00000000" w:rsidR="00000000" w:rsidRPr="00000000">
        <w:rPr>
          <w:b w:val="1"/>
          <w:bCs w:val="1"/>
          <w:rtl w:val="0"/>
        </w:rPr>
        <w:t xml:space="preserve">LKR 100 per km</w:t>
      </w:r>
      <w:r w:rsidDel="00000000" w:rsidR="00000000" w:rsidRPr="00000000">
        <w:rPr>
          <w:rtl w:val="0"/>
        </w:rPr>
        <w:t xml:space="preserve">, reflecting supply scarcity and unregulated price discovery. In contrast, PickMe maintained platform pricing at </w:t>
      </w:r>
      <w:r w:rsidDel="00000000" w:rsidR="00000000" w:rsidRPr="00000000">
        <w:rPr>
          <w:b w:val="1"/>
          <w:bCs w:val="1"/>
          <w:rtl w:val="0"/>
        </w:rPr>
        <w:t xml:space="preserve">LKR 65 per km</w:t>
      </w:r>
      <w:r w:rsidDel="00000000" w:rsidR="00000000" w:rsidRPr="00000000">
        <w:rPr>
          <w:rtl w:val="0"/>
        </w:rPr>
        <w:t xml:space="preserve">, despite higher operating input costs.</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Real-Price Comparison:</w:t>
        <w:br w:type="textWrapping"/>
      </w:r>
      <w:r w:rsidDel="00000000" w:rsidR="00000000" w:rsidRPr="00000000">
        <w:rPr>
          <w:rtl w:val="0"/>
        </w:rPr>
        <w:t xml:space="preserve"> When adjusted for prevailing inflation, PickMe’s implied real cost of </w:t>
      </w:r>
      <w:r w:rsidDel="00000000" w:rsidR="00000000" w:rsidRPr="00000000">
        <w:rPr>
          <w:b w:val="1"/>
          <w:bCs w:val="1"/>
          <w:rtl w:val="0"/>
        </w:rPr>
        <w:t xml:space="preserve">LKR 74 per km</w:t>
      </w:r>
      <w:r w:rsidDel="00000000" w:rsidR="00000000" w:rsidRPr="00000000">
        <w:rPr>
          <w:rtl w:val="0"/>
        </w:rPr>
        <w:t xml:space="preserve"> remained below the prevailing informal rate, indicating controlled fare adjustments rather than opportunistic pricing.</w:t>
        <w:br w:type="textWrapping"/>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Functional Role in Market Continuity:</w:t>
        <w:br w:type="textWrapping"/>
      </w:r>
      <w:r w:rsidDel="00000000" w:rsidR="00000000" w:rsidRPr="00000000">
        <w:rPr>
          <w:rtl w:val="0"/>
        </w:rPr>
        <w:t xml:space="preserve"> This pricing consistency allowed the platform to sustain mobility access when supply fragmentation and opportunistic pricing limited affordability in the informal market. As a result, PickMe effectively mitigated accessibility risk for essential commuters, including students, SME logistics, and daily wage workers dependent on predictable transport costs.</w:t>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culavt7w5yyj" w:id="2"/>
      <w:bookmarkEnd w:id="2"/>
      <w:r w:rsidDel="00000000" w:rsidR="00000000" w:rsidRPr="00000000">
        <w:rPr>
          <w:b w:val="1"/>
          <w:bCs w:val="1"/>
          <w:color w:val="000000"/>
          <w:sz w:val="22"/>
          <w:szCs w:val="22"/>
          <w:rtl w:val="0"/>
        </w:rPr>
        <w:t xml:space="preserve">5. Financial Inclusion and Social Protection for Informal Labour Participants</w:t>
      </w:r>
    </w:p>
    <w:p w:rsidR="00000000" w:rsidDel="00000000" w:rsidP="00000000" w:rsidRDefault="00000000" w:rsidRPr="00000000" w14:paraId="00000029">
      <w:pPr>
        <w:spacing w:after="240" w:before="240" w:lineRule="auto"/>
        <w:rPr/>
      </w:pPr>
      <w:r w:rsidDel="00000000" w:rsidR="00000000" w:rsidRPr="00000000">
        <w:rPr>
          <w:rtl w:val="0"/>
        </w:rPr>
        <w:t xml:space="preserve">PickMe plays a significant role in enabling financial inclusion within Sri Lanka’s informal transport sector, where a large portion of workers historically operated outside formal employment, banking, and credit systems. Through targeted partnerships and structured financial pathways, the platform lowers entry barriers and supports long-term economic mobility for gig workers.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Access to Productive Assets:</w:t>
        <w:br w:type="textWrapping"/>
      </w:r>
      <w:r w:rsidDel="00000000" w:rsidR="00000000" w:rsidRPr="00000000">
        <w:rPr>
          <w:rtl w:val="0"/>
        </w:rPr>
        <w:t xml:space="preserve"> The company collaborates with financial institutions—including Fintrex Finance and Dialog Finance—to offer device financing schemes that enable drivers without prior credit history to acquire smartphones required for platform participation. This mechanism creates a pathway for previously unbanked individuals to build credit records, supporting long-term integration into the formal financial system.</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bCs w:val="1"/>
          <w:rtl w:val="0"/>
        </w:rPr>
        <w:t xml:space="preserve">Welfare and Risk Transfer Mechanisms:</w:t>
        <w:br w:type="textWrapping"/>
      </w:r>
      <w:r w:rsidDel="00000000" w:rsidR="00000000" w:rsidRPr="00000000">
        <w:rPr>
          <w:rtl w:val="0"/>
        </w:rPr>
        <w:t xml:space="preserve"> The platform provides insurance coverage to registered drivers, extending beyond on-trip incidents to include off-duty protection and benefits for dependents. This form of structured safety net is uncommon in gig workforce models and reduces vulnerability to income loss arising from accidents, illness, or unforeseen disruptions.</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f3p4xwpurmy" w:id="3"/>
      <w:bookmarkEnd w:id="3"/>
      <w:r w:rsidDel="00000000" w:rsidR="00000000" w:rsidRPr="00000000">
        <w:rPr>
          <w:b w:val="1"/>
          <w:bCs w:val="1"/>
          <w:color w:val="000000"/>
          <w:sz w:val="26"/>
          <w:szCs w:val="26"/>
          <w:rtl w:val="0"/>
        </w:rPr>
        <w:t xml:space="preserve">Household Income Diversification and Platform-Enabled Micro-Enterprise Growth</w:t>
      </w:r>
    </w:p>
    <w:p w:rsidR="00000000" w:rsidDel="00000000" w:rsidP="00000000" w:rsidRDefault="00000000" w:rsidRPr="00000000" w14:paraId="0000002D">
      <w:pPr>
        <w:spacing w:after="240" w:before="240" w:lineRule="auto"/>
        <w:rPr/>
      </w:pPr>
      <w:r w:rsidDel="00000000" w:rsidR="00000000" w:rsidRPr="00000000">
        <w:rPr>
          <w:rtl w:val="0"/>
        </w:rPr>
        <w:t xml:space="preserve">PickMe benefits from structural changes in the local food delivery and retail ecosystem, particularly the rise of </w:t>
      </w:r>
      <w:r w:rsidDel="00000000" w:rsidR="00000000" w:rsidRPr="00000000">
        <w:rPr>
          <w:b w:val="1"/>
          <w:bCs w:val="1"/>
          <w:rtl w:val="0"/>
        </w:rPr>
        <w:t xml:space="preserve">delivery-only “dark stores” and home-based micro-enterprises</w:t>
      </w:r>
      <w:r w:rsidDel="00000000" w:rsidR="00000000" w:rsidRPr="00000000">
        <w:rPr>
          <w:rtl w:val="0"/>
        </w:rPr>
        <w:t xml:space="preserve">. This model lowers entry costs for small businesses by eliminating the need for physical outlets, licensing overhead, and high fixed operating expenditure.</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bCs w:val="1"/>
          <w:rtl w:val="0"/>
        </w:rPr>
        <w:t xml:space="preserve">Shift to Asset-Light Entrepreneurship:</w:t>
        <w:br w:type="textWrapping"/>
      </w:r>
      <w:r w:rsidDel="00000000" w:rsidR="00000000" w:rsidRPr="00000000">
        <w:rPr>
          <w:rtl w:val="0"/>
        </w:rPr>
        <w:t xml:space="preserve"> The delivery-only operating model has enabled new entrants—especially sole proprietors and home-based businesses—to commercialize food preparation or small-scale retail without capital investment in storefronts. This lowers financial barriers to participation and supports entrepreneurship in a cost-constrained macroeconomic environment.</w:t>
        <w:br w:type="textWrapping"/>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Enabling Income Resilience at Household Level:</w:t>
        <w:br w:type="textWrapping"/>
      </w:r>
      <w:r w:rsidDel="00000000" w:rsidR="00000000" w:rsidRPr="00000000">
        <w:rPr>
          <w:rtl w:val="0"/>
        </w:rPr>
        <w:t xml:space="preserve"> The model has driven increased participation from women and households previously outside formal employment structures, providing alternative revenue streams and reducing reliance on a single wage earner. Platform logistics infrastructure provides route-to-market access that would otherwise be unattainable for informal producers.</w:t>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Governance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1. Board Independence and Defined Oversight Roles</w:t>
        <w:br w:type="textWrapping"/>
      </w:r>
      <w:r w:rsidDel="00000000" w:rsidR="00000000" w:rsidRPr="00000000">
        <w:rPr>
          <w:rtl w:val="0"/>
        </w:rPr>
        <w:t xml:space="preserve"> PickMe operates under a governance framework with clear separation between oversight and executive authority, with the Non-Executive Chairperson and Executive CEO holding distinct responsibilities. Core governance committees—including Audit, Remuneration, and Nominations—are chaired exclusively by Independent Non-Executive Directors (INEDs), reinforcing board independence and limiting executive dominance in decision-making. This structure aligns with regional capital market governance standards and contributes to strong oversight continuity as reflected in the company's high Management governance score.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2. Minority Shareholder Safeguards and Related-Party Controls</w:t>
        <w:br w:type="textWrapping"/>
      </w:r>
      <w:r w:rsidDel="00000000" w:rsidR="00000000" w:rsidRPr="00000000">
        <w:rPr>
          <w:rtl w:val="0"/>
        </w:rPr>
        <w:t xml:space="preserve"> Despite concentrated ownership, with the Founder-CEO retaining a 35.79% stake, PickMe demonstrates mitigating mechanisms to prevent potential conflicts of interest. A dedicated Related Party Transactions Review Committee (RPTRC), chaired by an independent director, evaluates and approves all related-party transactions under an arm’s-length standard. This oversight structure reduces agency risk, limits discretionary influence by significant shareholders, and supports equitable treatment of all shareholder classes. As a result, PickMe achieves the highest available score under the Shareholder Rights dimension.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3. Policy Infrastructure, Disclosure Practices, and Ethical Alignment</w:t>
        <w:br w:type="textWrapping"/>
      </w:r>
      <w:r w:rsidDel="00000000" w:rsidR="00000000" w:rsidRPr="00000000">
        <w:rPr>
          <w:rtl w:val="0"/>
        </w:rPr>
        <w:t xml:space="preserve"> Following its public listing, PickMe formalized a comprehensive governance policy framework that includes Anti-Bribery controls, a Whistleblower Policy, and a Code of Conduct applicable across leadership and operational levels. The governance framework is supported by structured disclosure practices such as quarterly reporting, investor communication channels, and transparent committee-based appointments under an established "fit-and-proper" process. These measures reflect a maturing compliance culture with alignment to publicly listed governance norms and contribute to a top-tier CSR/Governance Strategy score.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Sustainalytics ESG Risk Rating</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Sustainalytics ESG Risk Rating provides an independent assessment of Digital Mobility Solutions Lanka PLC’s (PKME) exposure to Environmental, Social, and Governance risks, applying the Morningstar Sustainalytics ESG Risk Ratings Methodology (Version 3.1). The score reflects both the company’s inherent ESG risk exposure and the extent to which those risks are currently unmanaged, based on corporate disclosures, financial data, and external research sources.</w:t>
      </w:r>
    </w:p>
    <w:p w:rsidR="00000000" w:rsidDel="00000000" w:rsidP="00000000" w:rsidRDefault="00000000" w:rsidRPr="00000000" w14:paraId="00000050">
      <w:pPr>
        <w:spacing w:after="240" w:before="240" w:lineRule="auto"/>
        <w:rPr/>
      </w:pPr>
      <w:r w:rsidDel="00000000" w:rsidR="00000000" w:rsidRPr="00000000">
        <w:rPr>
          <w:rtl w:val="0"/>
        </w:rPr>
        <w:t xml:space="preserve">The ESG evaluation indicates a </w:t>
      </w:r>
      <w:r w:rsidDel="00000000" w:rsidR="00000000" w:rsidRPr="00000000">
        <w:rPr>
          <w:b w:val="1"/>
          <w:bCs w:val="1"/>
          <w:rtl w:val="0"/>
        </w:rPr>
        <w:t xml:space="preserve">“barbell-style” profile</w:t>
      </w:r>
      <w:r w:rsidDel="00000000" w:rsidR="00000000" w:rsidRPr="00000000">
        <w:rPr>
          <w:rtl w:val="0"/>
        </w:rPr>
        <w:t xml:space="preserve">, reflecting polarized maturity across pillars rather than balanced performance. PKME demonstrates </w:t>
      </w:r>
      <w:r w:rsidDel="00000000" w:rsidR="00000000" w:rsidRPr="00000000">
        <w:rPr>
          <w:b w:val="1"/>
          <w:bCs w:val="1"/>
          <w:rtl w:val="0"/>
        </w:rPr>
        <w:t xml:space="preserve">best-practice Corporate Governance</w:t>
      </w:r>
      <w:r w:rsidDel="00000000" w:rsidR="00000000" w:rsidRPr="00000000">
        <w:rPr>
          <w:rtl w:val="0"/>
        </w:rPr>
        <w:t xml:space="preserve">, strengthened following its 2024 listing and further reinforced through IFC-aligned governance structures. This is complemented by a strong Social profile, where the company actively manages the inherent risks of its large gig-economy workforce. Programs such as off-duty insurance coverage and education support for driver households have enabled effective engagement and retention across a network exceeding 100,000 independent workers.</w:t>
      </w:r>
    </w:p>
    <w:p w:rsidR="00000000" w:rsidDel="00000000" w:rsidP="00000000" w:rsidRDefault="00000000" w:rsidRPr="00000000" w14:paraId="00000051">
      <w:pPr>
        <w:spacing w:after="240" w:before="240" w:lineRule="auto"/>
        <w:rPr/>
      </w:pPr>
      <w:r w:rsidDel="00000000" w:rsidR="00000000" w:rsidRPr="00000000">
        <w:rPr>
          <w:rtl w:val="0"/>
        </w:rPr>
        <w:t xml:space="preserve">However, these strengths are counterweighted by a </w:t>
      </w:r>
      <w:r w:rsidDel="00000000" w:rsidR="00000000" w:rsidRPr="00000000">
        <w:rPr>
          <w:b w:val="1"/>
          <w:bCs w:val="1"/>
          <w:rtl w:val="0"/>
        </w:rPr>
        <w:t xml:space="preserve">High-Risk, Weakly-Managed Environmental profile</w:t>
      </w:r>
      <w:r w:rsidDel="00000000" w:rsidR="00000000" w:rsidRPr="00000000">
        <w:rPr>
          <w:rtl w:val="0"/>
        </w:rPr>
        <w:t xml:space="preserve">. The elevated risk rating does not stem from an absence of environmental initiatives—PKME has formal policies and operational sustainability levers in place, including algorithmic route optimization and energy-efficient cloud migration—but rather from a critical </w:t>
      </w:r>
      <w:r w:rsidDel="00000000" w:rsidR="00000000" w:rsidRPr="00000000">
        <w:rPr>
          <w:b w:val="1"/>
          <w:bCs w:val="1"/>
          <w:rtl w:val="0"/>
        </w:rPr>
        <w:t xml:space="preserve">absence of quantitative environmental disclosure</w:t>
      </w:r>
      <w:r w:rsidDel="00000000" w:rsidR="00000000" w:rsidRPr="00000000">
        <w:rPr>
          <w:rtl w:val="0"/>
        </w:rPr>
        <w:t xml:space="preserve">. The latest Annual Report confirms that Greenhouse Gas (GHG) emissions measurement and reporting remain future objectives rather than current practice. Given that the company’s operating model is directly linked to the emissions profile of its large vehicle ecosystem, the lack of emissions accounting represents a material transparency and risk-management gap.</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ygonptbpwy97" w:id="4"/>
      <w:bookmarkEnd w:id="4"/>
      <w:r w:rsidDel="00000000" w:rsidR="00000000" w:rsidRPr="00000000">
        <w:rPr>
          <w:b w:val="1"/>
          <w:bCs w:val="1"/>
          <w:color w:val="000000"/>
          <w:sz w:val="26"/>
          <w:szCs w:val="26"/>
          <w:rtl w:val="0"/>
        </w:rPr>
        <w:t xml:space="preserve">Unmanaged ESG Risk Score</w:t>
      </w:r>
    </w:p>
    <w:p w:rsidR="00000000" w:rsidDel="00000000" w:rsidP="00000000" w:rsidRDefault="00000000" w:rsidRPr="00000000" w14:paraId="00000053">
      <w:pPr>
        <w:spacing w:after="240" w:before="240" w:lineRule="auto"/>
        <w:rPr/>
      </w:pPr>
      <w:r w:rsidDel="00000000" w:rsidR="00000000" w:rsidRPr="00000000">
        <w:rPr>
          <w:rtl w:val="0"/>
        </w:rPr>
        <w:t xml:space="preserve">PKME records an aggregate Sustainalytics Unmanaged ESG Risk Score of 19.59, placing the company at the upper boundary of the Low Risk category (10.00–19.99). While the overall risk to enterprise value is assessed as low, the position near the category threshold reflects a concentration of unmanaged environmental risk significant enough to almost transition the company into the Medium Risk band.</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9zhin2cp0ag" w:id="5"/>
      <w:bookmarkEnd w:id="5"/>
      <w:r w:rsidDel="00000000" w:rsidR="00000000" w:rsidRPr="00000000">
        <w:rPr>
          <w:b w:val="1"/>
          <w:bCs w:val="1"/>
          <w:color w:val="000000"/>
          <w:sz w:val="26"/>
          <w:szCs w:val="26"/>
          <w:rtl w:val="0"/>
        </w:rPr>
        <w:t xml:space="preserve">PKME Sustainalytics ESG Risk Scorecard </w:t>
      </w:r>
    </w:p>
    <w:p w:rsidR="00000000" w:rsidDel="00000000" w:rsidP="00000000" w:rsidRDefault="00000000" w:rsidRPr="00000000" w14:paraId="00000055">
      <w:pPr>
        <w:spacing w:after="240" w:before="240" w:lineRule="auto"/>
        <w:rPr/>
      </w:pPr>
      <w:r w:rsidDel="00000000" w:rsidR="00000000" w:rsidRPr="00000000">
        <w:rPr>
          <w:rtl w:val="0"/>
        </w:rPr>
        <w:t xml:space="preserve">The scorecard below presents the key components of the Sustainalytics methodology. Each Material ESG Issue (MEI) is evaluated based on:</w:t>
      </w:r>
    </w:p>
    <w:p w:rsidR="00000000" w:rsidDel="00000000" w:rsidP="00000000" w:rsidRDefault="00000000" w:rsidRPr="00000000" w14:paraId="00000056">
      <w:pPr>
        <w:numPr>
          <w:ilvl w:val="0"/>
          <w:numId w:val="7"/>
        </w:numPr>
        <w:spacing w:after="0" w:afterAutospacing="0" w:before="240" w:lineRule="auto"/>
        <w:ind w:left="720" w:hanging="360"/>
      </w:pPr>
      <w:r w:rsidDel="00000000" w:rsidR="00000000" w:rsidRPr="00000000">
        <w:rPr>
          <w:b w:val="1"/>
          <w:bCs w:val="1"/>
          <w:rtl w:val="0"/>
        </w:rPr>
        <w:t xml:space="preserve">Exposure:</w:t>
      </w:r>
      <w:r w:rsidDel="00000000" w:rsidR="00000000" w:rsidRPr="00000000">
        <w:rPr>
          <w:rtl w:val="0"/>
        </w:rPr>
        <w:t xml:space="preserve"> The degree to which the company is inherently vulnerable to the risk.</w:t>
        <w:br w:type="textWrapping"/>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b w:val="1"/>
          <w:bCs w:val="1"/>
          <w:rtl w:val="0"/>
        </w:rPr>
        <w:t xml:space="preserve">Management Score (0–100):</w:t>
      </w:r>
      <w:r w:rsidDel="00000000" w:rsidR="00000000" w:rsidRPr="00000000">
        <w:rPr>
          <w:rtl w:val="0"/>
        </w:rPr>
        <w:t xml:space="preserve"> The effectiveness of controls, policies, and mitigation practices.</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These factors are combined through the methodology’s waterfall framework to determine the final </w:t>
      </w:r>
      <w:r w:rsidDel="00000000" w:rsidR="00000000" w:rsidRPr="00000000">
        <w:rPr>
          <w:b w:val="1"/>
          <w:bCs w:val="1"/>
          <w:rtl w:val="0"/>
        </w:rPr>
        <w:t xml:space="preserve">Unmanaged ESG Risk Score</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9.405646359584"/>
        <w:gridCol w:w="1710.6686478454683"/>
        <w:gridCol w:w="1376.8796433878156"/>
        <w:gridCol w:w="1710.6686478454683"/>
        <w:gridCol w:w="1627.2213967310552"/>
        <w:gridCol w:w="1335.1560178306092"/>
        <w:tblGridChange w:id="0">
          <w:tblGrid>
            <w:gridCol w:w="1599.405646359584"/>
            <w:gridCol w:w="1710.6686478454683"/>
            <w:gridCol w:w="1376.8796433878156"/>
            <w:gridCol w:w="1710.6686478454683"/>
            <w:gridCol w:w="1627.2213967310552"/>
            <w:gridCol w:w="1335.156017830609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bCs w:val="1"/>
                <w:color w:val="1b1c1d"/>
                <w:rtl w:val="0"/>
              </w:rPr>
              <w:t xml:space="preserve">Building Block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bCs w:val="1"/>
                <w:color w:val="1b1c1d"/>
                <w:rtl w:val="0"/>
              </w:rPr>
              <w:t xml:space="preserve">Material ESG Issue (MEI)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bCs w:val="1"/>
                <w:color w:val="1b1c1d"/>
                <w:rtl w:val="0"/>
              </w:rPr>
              <w:t xml:space="preserve">Exposure Score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bCs w:val="1"/>
                <w:color w:val="1b1c1d"/>
                <w:rtl w:val="0"/>
              </w:rPr>
              <w:t xml:space="preserve">Management Score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bCs w:val="1"/>
                <w:color w:val="1b1c1d"/>
                <w:rtl w:val="0"/>
              </w:rPr>
              <w:t xml:space="preserve">Unmanaged Risk Score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bCs w:val="1"/>
                <w:color w:val="1b1c1d"/>
                <w:rtl w:val="0"/>
              </w:rPr>
              <w:t xml:space="preserve">Risk Category</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bCs w:val="1"/>
                <w:color w:val="1b1c1d"/>
                <w:rtl w:val="0"/>
              </w:rPr>
              <w:t xml:space="preserve">Overall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bCs w:val="1"/>
                <w:color w:val="1b1c1d"/>
                <w:rtl w:val="0"/>
              </w:rPr>
              <w:t xml:space="preserve">Total Unmanaged ESG Risk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bCs w:val="1"/>
                <w:color w:val="1b1c1d"/>
                <w:rtl w:val="0"/>
              </w:rPr>
              <w:t xml:space="preserv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bCs w:val="1"/>
                <w:color w:val="1b1c1d"/>
                <w:rtl w:val="0"/>
              </w:rPr>
              <w:t xml:space="preserv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bCs w:val="1"/>
                <w:color w:val="1b1c1d"/>
                <w:rtl w:val="0"/>
              </w:rPr>
              <w:t xml:space="preserve">19.59</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bCs w:val="1"/>
                <w:color w:val="1b1c1d"/>
                <w:rtl w:val="0"/>
              </w:rPr>
              <w:t xml:space="preserve">Low Risk</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Governance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Corporate Governance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7.0 (Baseline)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85/100 (Strong)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b w:val="1"/>
                <w:bCs w:val="1"/>
                <w:color w:val="1b1c1d"/>
                <w:rtl w:val="0"/>
              </w:rPr>
              <w:t xml:space="preserve">1.05</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Negligible</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Environment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Carbon - Products &amp; Services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9.0 (High)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20/100 (Weak)</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bCs w:val="1"/>
                <w:color w:val="1b1c1d"/>
                <w:rtl w:val="0"/>
              </w:rPr>
              <w:t xml:space="preserve">7.74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High</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Social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Human Capital &amp; Labor Relations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10.0 (Severe)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75/100 (Strong)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bCs w:val="1"/>
                <w:color w:val="1b1c1d"/>
                <w:rtl w:val="0"/>
              </w:rPr>
              <w:t xml:space="preserve">4.00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Medium</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Social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Data Privacy &amp; Cybersecurity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8.0 (High)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70/100 (Strong)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bCs w:val="1"/>
                <w:color w:val="1b1c1d"/>
                <w:rtl w:val="0"/>
              </w:rPr>
              <w:t xml:space="preserve">2.40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Medium</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Social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Human Rights &amp; Community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7.0 (High)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80/100 (Strong)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bCs w:val="1"/>
                <w:color w:val="1b1c1d"/>
                <w:rtl w:val="0"/>
              </w:rPr>
              <w:t xml:space="preserve">1.40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Low</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i w:val="1"/>
                <w:iCs w:val="1"/>
                <w:color w:val="1b1c1d"/>
                <w:rtl w:val="0"/>
              </w:rPr>
              <w:t xml:space="preserve">Other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i w:val="1"/>
                <w:iCs w:val="1"/>
                <w:color w:val="1b1c1d"/>
                <w:rtl w:val="0"/>
              </w:rPr>
              <w:t xml:space="preserve">Aggregated Other MEIs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i w:val="1"/>
                <w:iCs w:val="1"/>
                <w:color w:val="1b1c1d"/>
                <w:rtl w:val="0"/>
              </w:rPr>
              <w:t xml:space="preserv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i w:val="1"/>
                <w:iCs w:val="1"/>
                <w:color w:val="1b1c1d"/>
                <w:rtl w:val="0"/>
              </w:rPr>
              <w:t xml:space="preserv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i w:val="1"/>
                <w:iCs w:val="1"/>
                <w:color w:val="1b1c1d"/>
                <w:rtl w:val="0"/>
              </w:rPr>
              <w:t xml:space="preserve">3.00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i w:val="1"/>
                <w:iCs w:val="1"/>
                <w:color w:val="1b1c1d"/>
                <w:rtl w:val="0"/>
              </w:rPr>
              <w:t xml:space="preserve">Medium</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8.9481785531043"/>
        <w:gridCol w:w="1733.6890713186249"/>
        <w:gridCol w:w="2223.5402770651617"/>
        <w:gridCol w:w="768.3940482298615"/>
        <w:gridCol w:w="2785.4284248332483"/>
        <w:tblGridChange w:id="0">
          <w:tblGrid>
            <w:gridCol w:w="1848.9481785531043"/>
            <w:gridCol w:w="1733.6890713186249"/>
            <w:gridCol w:w="2223.5402770651617"/>
            <w:gridCol w:w="768.3940482298615"/>
            <w:gridCol w:w="2785.4284248332483"/>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Calculation 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Rationale / Evidence</w:t>
            </w:r>
            <w:r w:rsidDel="00000000" w:rsidR="00000000" w:rsidRPr="00000000">
              <w:rPr>
                <w:rtl w:val="0"/>
              </w:rPr>
            </w:r>
          </w:p>
        </w:tc>
      </w:tr>
      <w:tr>
        <w:trPr>
          <w:cantSplit w:val="0"/>
          <w:trHeight w:val="18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Exposure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Company Exposure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Subindustry Exposure × Beta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9.00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High inherent emissions exposure due to full dependency on third-party vehicle fleet; Beta adjustment &gt;1.0 increases sensitivity.</w:t>
            </w:r>
          </w:p>
        </w:tc>
      </w:tr>
      <w:tr>
        <w:trPr>
          <w:cantSplit w:val="0"/>
          <w:trHeight w:val="21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Risk Split – Theoretical Manageability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Manageable Risk Factor (MRF)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Subindustry benchmark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Industry benchmark assumes majority of emissions can be actively mitigated (e.g., routing efficiency, EV transition); remaining exposure tied to national energy mix.</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Manageable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Exposure × MRF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6.30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Portion of risk that is considered controllable by the company.</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Unmanageable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Exposure × (1 − MRF)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2.70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Residual risk structurally outside company control (e.g., grid emissions intensity, legacy combustion fleet).</w:t>
            </w:r>
          </w:p>
        </w:tc>
      </w:tr>
      <w:tr>
        <w:trPr>
          <w:cantSplit w:val="0"/>
          <w:trHeight w:val="21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Management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Management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Analyst/Framework Assessment (0–100)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Limited management recognition due to absence of quantitative GHG disclosures despite operational initiatives (Mission Control, cloud migration).</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Managed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Manageable Risk × Management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1.26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Risk that has been demonstrably mitigated based on current governance and disclosure maturity.</w:t>
            </w:r>
          </w:p>
        </w:tc>
      </w:tr>
      <w:tr>
        <w:trPr>
          <w:cantSplit w:val="0"/>
          <w:trHeight w:val="21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Management Gap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Manageable Risk − Managed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5.04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Represents the portion of risk that could be managed but is currently unaddressed due to disclosure gaps or insufficient mitigation systems.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Final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Unmanaged Risk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Unmanageable Risk + Management Gap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7.74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Total remaining Environmental risk exposure not mitigated in practice.</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Final ESG Risk Categories</w:t>
      </w:r>
    </w:p>
    <w:p w:rsidR="00000000" w:rsidDel="00000000" w:rsidP="00000000" w:rsidRDefault="00000000" w:rsidRPr="00000000" w14:paraId="000000BC">
      <w:pPr>
        <w:spacing w:after="240" w:before="240" w:lineRule="auto"/>
        <w:rPr/>
      </w:pPr>
      <w:r w:rsidDel="00000000" w:rsidR="00000000" w:rsidRPr="00000000">
        <w:rPr>
          <w:rtl w:val="0"/>
        </w:rPr>
        <w:t xml:space="preserve">The final aggregated score, which is the sum of all MEI Unmanaged Risk scores, is mapped to one of five absolute risk categories:   </w:t>
      </w:r>
    </w:p>
    <w:p w:rsidR="00000000" w:rsidDel="00000000" w:rsidP="00000000" w:rsidRDefault="00000000" w:rsidRPr="00000000" w14:paraId="000000BD">
      <w:pPr>
        <w:numPr>
          <w:ilvl w:val="0"/>
          <w:numId w:val="2"/>
        </w:numPr>
        <w:spacing w:after="0" w:afterAutospacing="0" w:lineRule="auto"/>
        <w:ind w:left="720" w:hanging="360"/>
      </w:pPr>
      <w:r w:rsidDel="00000000" w:rsidR="00000000" w:rsidRPr="00000000">
        <w:rPr>
          <w:b w:val="1"/>
          <w:bCs w:val="1"/>
          <w:rtl w:val="0"/>
        </w:rPr>
        <w:t xml:space="preserve">0-10: Negligible Risk</w:t>
      </w:r>
    </w:p>
    <w:p w:rsidR="00000000" w:rsidDel="00000000" w:rsidP="00000000" w:rsidRDefault="00000000" w:rsidRPr="00000000" w14:paraId="000000BE">
      <w:pPr>
        <w:numPr>
          <w:ilvl w:val="0"/>
          <w:numId w:val="2"/>
        </w:numPr>
        <w:spacing w:after="0" w:afterAutospacing="0" w:lineRule="auto"/>
        <w:ind w:left="720" w:hanging="360"/>
      </w:pPr>
      <w:r w:rsidDel="00000000" w:rsidR="00000000" w:rsidRPr="00000000">
        <w:rPr>
          <w:b w:val="1"/>
          <w:bCs w:val="1"/>
          <w:rtl w:val="0"/>
        </w:rPr>
        <w:t xml:space="preserve">10-20: Low Risk</w:t>
      </w:r>
    </w:p>
    <w:p w:rsidR="00000000" w:rsidDel="00000000" w:rsidP="00000000" w:rsidRDefault="00000000" w:rsidRPr="00000000" w14:paraId="000000BF">
      <w:pPr>
        <w:numPr>
          <w:ilvl w:val="0"/>
          <w:numId w:val="2"/>
        </w:numPr>
        <w:spacing w:after="0" w:afterAutospacing="0" w:lineRule="auto"/>
        <w:ind w:left="720" w:hanging="360"/>
      </w:pPr>
      <w:r w:rsidDel="00000000" w:rsidR="00000000" w:rsidRPr="00000000">
        <w:rPr>
          <w:b w:val="1"/>
          <w:bCs w:val="1"/>
          <w:rtl w:val="0"/>
        </w:rPr>
        <w:t xml:space="preserve">20-30: Medium Risk</w:t>
      </w:r>
    </w:p>
    <w:p w:rsidR="00000000" w:rsidDel="00000000" w:rsidP="00000000" w:rsidRDefault="00000000" w:rsidRPr="00000000" w14:paraId="000000C0">
      <w:pPr>
        <w:numPr>
          <w:ilvl w:val="0"/>
          <w:numId w:val="2"/>
        </w:numPr>
        <w:spacing w:after="0" w:afterAutospacing="0" w:lineRule="auto"/>
        <w:ind w:left="720" w:hanging="360"/>
      </w:pPr>
      <w:r w:rsidDel="00000000" w:rsidR="00000000" w:rsidRPr="00000000">
        <w:rPr>
          <w:b w:val="1"/>
          <w:bCs w:val="1"/>
          <w:rtl w:val="0"/>
        </w:rPr>
        <w:t xml:space="preserve">30-40: High Risk</w:t>
      </w:r>
    </w:p>
    <w:p w:rsidR="00000000" w:rsidDel="00000000" w:rsidP="00000000" w:rsidRDefault="00000000" w:rsidRPr="00000000" w14:paraId="000000C1">
      <w:pPr>
        <w:numPr>
          <w:ilvl w:val="0"/>
          <w:numId w:val="2"/>
        </w:numPr>
        <w:spacing w:after="240" w:lineRule="auto"/>
        <w:ind w:left="720" w:hanging="360"/>
      </w:pPr>
      <w:r w:rsidDel="00000000" w:rsidR="00000000" w:rsidRPr="00000000">
        <w:rPr>
          <w:b w:val="1"/>
          <w:bCs w:val="1"/>
          <w:rtl w:val="0"/>
        </w:rPr>
        <w:t xml:space="preserve">40+: Severe Risk</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The Three Building Blocks of the Rating</w:t>
      </w:r>
    </w:p>
    <w:p w:rsidR="00000000" w:rsidDel="00000000" w:rsidP="00000000" w:rsidRDefault="00000000" w:rsidRPr="00000000" w14:paraId="000000C3">
      <w:pPr>
        <w:spacing w:after="240" w:before="240" w:lineRule="auto"/>
        <w:rPr/>
      </w:pPr>
      <w:r w:rsidDel="00000000" w:rsidR="00000000" w:rsidRPr="00000000">
        <w:rPr>
          <w:rtl w:val="0"/>
        </w:rPr>
        <w:t xml:space="preserve">The overall rating is composed of three building blocks :   </w:t>
      </w:r>
    </w:p>
    <w:p w:rsidR="00000000" w:rsidDel="00000000" w:rsidP="00000000" w:rsidRDefault="00000000" w:rsidRPr="00000000" w14:paraId="000000C4">
      <w:pPr>
        <w:numPr>
          <w:ilvl w:val="0"/>
          <w:numId w:val="11"/>
        </w:numPr>
        <w:spacing w:after="0" w:afterAutospacing="0" w:lineRule="auto"/>
        <w:ind w:left="720" w:hanging="360"/>
      </w:pPr>
      <w:r w:rsidDel="00000000" w:rsidR="00000000" w:rsidRPr="00000000">
        <w:rPr>
          <w:b w:val="1"/>
          <w:bCs w:val="1"/>
          <w:rtl w:val="0"/>
        </w:rPr>
        <w:t xml:space="preserve">Material ESG Issues (MEIs):</w:t>
      </w:r>
      <w:r w:rsidDel="00000000" w:rsidR="00000000" w:rsidRPr="00000000">
        <w:rPr>
          <w:rtl w:val="0"/>
        </w:rPr>
        <w:t xml:space="preserve"> These form the core of the rating. They are subindustry-specific risks that are "likely to influence the decisions made by investors". This report identifies the MEIs relevant to PKME's subindustry from the 22 standard MEIs (e.g., Carbon, Human Capital).   </w:t>
      </w:r>
    </w:p>
    <w:p w:rsidR="00000000" w:rsidDel="00000000" w:rsidP="00000000" w:rsidRDefault="00000000" w:rsidRPr="00000000" w14:paraId="000000C5">
      <w:pPr>
        <w:numPr>
          <w:ilvl w:val="0"/>
          <w:numId w:val="11"/>
        </w:numPr>
        <w:spacing w:after="240" w:lineRule="auto"/>
        <w:ind w:left="720" w:hanging="360"/>
      </w:pPr>
      <w:r w:rsidDel="00000000" w:rsidR="00000000" w:rsidRPr="00000000">
        <w:rPr>
          <w:b w:val="1"/>
          <w:bCs w:val="1"/>
          <w:rtl w:val="0"/>
        </w:rPr>
        <w:t xml:space="preserve">Corporate Governance:</w:t>
      </w:r>
      <w:r w:rsidDel="00000000" w:rsidR="00000000" w:rsidRPr="00000000">
        <w:rPr>
          <w:rtl w:val="0"/>
        </w:rPr>
        <w:t xml:space="preserve"> This is a "baseline" MEI applied to all companies, as poor governance is considered a material risk for any entity.   </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Systemic &amp; Idiosyncratic Issues:</w:t>
      </w:r>
      <w:r w:rsidDel="00000000" w:rsidR="00000000" w:rsidRPr="00000000">
        <w:rPr>
          <w:rtl w:val="0"/>
        </w:rPr>
        <w:t xml:space="preserve"> These are risks from atypical "Events" (controversies) or macro shocks. Per the methodology, this report incorporates company-specific "Events" (e.g., community conflicts ) as a "discounting effect" that reduces the </w:t>
      </w:r>
      <w:r w:rsidDel="00000000" w:rsidR="00000000" w:rsidRPr="00000000">
        <w:rPr>
          <w:i w:val="1"/>
          <w:iCs w:val="1"/>
          <w:rtl w:val="0"/>
        </w:rPr>
        <w:t xml:space="preserve">Management</w:t>
      </w:r>
      <w:r w:rsidDel="00000000" w:rsidR="00000000" w:rsidRPr="00000000">
        <w:rPr>
          <w:rtl w:val="0"/>
        </w:rPr>
        <w:t xml:space="preserve"> score of the relevant MEI.</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i9xc72457vo7" w:id="6"/>
      <w:bookmarkEnd w:id="6"/>
      <w:r w:rsidDel="00000000" w:rsidR="00000000" w:rsidRPr="00000000">
        <w:rPr>
          <w:b w:val="1"/>
          <w:bCs w:val="1"/>
          <w:sz w:val="34"/>
          <w:szCs w:val="34"/>
          <w:rtl w:val="0"/>
        </w:rPr>
        <w:t xml:space="preserve">LSEG (Refinitiv) Methodological Analysis</w:t>
      </w:r>
    </w:p>
    <w:p w:rsidR="00000000" w:rsidDel="00000000" w:rsidP="00000000" w:rsidRDefault="00000000" w:rsidRPr="00000000" w14:paraId="000000C8">
      <w:pPr>
        <w:spacing w:after="240" w:before="240" w:lineRule="auto"/>
        <w:rPr/>
      </w:pPr>
      <w:r w:rsidDel="00000000" w:rsidR="00000000" w:rsidRPr="00000000">
        <w:rPr>
          <w:rtl w:val="0"/>
        </w:rPr>
        <w:t xml:space="preserve">This analysis evaluates the ESG performance of Digital Mobility Solutions Lanka PLC (PKME) using the London Stock Exchange Group (LSEG, formerly Refinitiv) sustainability scoring framework. The methodology integrates both </w:t>
      </w:r>
      <w:r w:rsidDel="00000000" w:rsidR="00000000" w:rsidRPr="00000000">
        <w:rPr>
          <w:b w:val="1"/>
          <w:bCs w:val="1"/>
          <w:rtl w:val="0"/>
        </w:rPr>
        <w:t xml:space="preserve">internal disclosure quality</w:t>
      </w:r>
      <w:r w:rsidDel="00000000" w:rsidR="00000000" w:rsidRPr="00000000">
        <w:rPr>
          <w:rtl w:val="0"/>
        </w:rPr>
        <w:t xml:space="preserve"> and </w:t>
      </w:r>
      <w:r w:rsidDel="00000000" w:rsidR="00000000" w:rsidRPr="00000000">
        <w:rPr>
          <w:b w:val="1"/>
          <w:bCs w:val="1"/>
          <w:rtl w:val="0"/>
        </w:rPr>
        <w:t xml:space="preserve">external conduct risk</w:t>
      </w:r>
      <w:r w:rsidDel="00000000" w:rsidR="00000000" w:rsidRPr="00000000">
        <w:rPr>
          <w:rtl w:val="0"/>
        </w:rPr>
        <w:t xml:space="preserve">, providing a dual assessment of stated performance and real-world outcomes relevant to investor due diligence and fiduciary decision-making.¹ The findings indicate a </w:t>
      </w:r>
      <w:r w:rsidDel="00000000" w:rsidR="00000000" w:rsidRPr="00000000">
        <w:rPr>
          <w:b w:val="1"/>
          <w:bCs w:val="1"/>
          <w:rtl w:val="0"/>
        </w:rPr>
        <w:t xml:space="preserve">highly unequal ESG profile</w:t>
      </w:r>
      <w:r w:rsidDel="00000000" w:rsidR="00000000" w:rsidRPr="00000000">
        <w:rPr>
          <w:rtl w:val="0"/>
        </w:rPr>
        <w:t xml:space="preserve">, where strong governance and policy maturity are offset by material undisclosed environmental data and significant external social conflict.</w:t>
      </w:r>
    </w:p>
    <w:p w:rsidR="00000000" w:rsidDel="00000000" w:rsidP="00000000" w:rsidRDefault="00000000" w:rsidRPr="00000000" w14:paraId="000000C9">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5213764337855"/>
        <w:gridCol w:w="780.8133472367049"/>
        <w:gridCol w:w="868.6548488008343"/>
        <w:gridCol w:w="5290.010427528676"/>
        <w:tblGridChange w:id="0">
          <w:tblGrid>
            <w:gridCol w:w="2420.5213764337855"/>
            <w:gridCol w:w="780.8133472367049"/>
            <w:gridCol w:w="868.6548488008343"/>
            <w:gridCol w:w="5290.0104275286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Final ESG Score (Disclosure-Based)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71.8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Strong governance and social policy disclosures; above-average transparency.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Final ESGC Score (Risk-Adjusted)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Severe penalty from controversies and transparency failures, indicating high unmanaged sustainability risk.</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rfmvjux7ckx1" w:id="7"/>
      <w:bookmarkEnd w:id="7"/>
      <w:r w:rsidDel="00000000" w:rsidR="00000000" w:rsidRPr="00000000">
        <w:rPr>
          <w:b w:val="1"/>
          <w:bCs w:val="1"/>
          <w:color w:val="000000"/>
          <w:sz w:val="26"/>
          <w:szCs w:val="26"/>
          <w:rtl w:val="0"/>
        </w:rPr>
        <w:t xml:space="preserve">Drivers of Score Divergence</w:t>
      </w:r>
    </w:p>
    <w:p w:rsidR="00000000" w:rsidDel="00000000" w:rsidP="00000000" w:rsidRDefault="00000000" w:rsidRPr="00000000" w14:paraId="000000D8">
      <w:pPr>
        <w:spacing w:after="240" w:before="240" w:lineRule="auto"/>
        <w:rPr/>
      </w:pPr>
      <w:r w:rsidDel="00000000" w:rsidR="00000000" w:rsidRPr="00000000">
        <w:rPr>
          <w:rtl w:val="0"/>
        </w:rPr>
        <w:t xml:space="preserve">The variance between the ESG (71.8) and ESGC (40.9) scores is primarily driven by:</w:t>
      </w:r>
    </w:p>
    <w:p w:rsidR="00000000" w:rsidDel="00000000" w:rsidP="00000000" w:rsidRDefault="00000000" w:rsidRPr="00000000" w14:paraId="000000D9">
      <w:pPr>
        <w:numPr>
          <w:ilvl w:val="0"/>
          <w:numId w:val="6"/>
        </w:numPr>
        <w:spacing w:after="0" w:afterAutospacing="0" w:before="240" w:lineRule="auto"/>
        <w:ind w:left="720" w:hanging="360"/>
        <w:rPr/>
      </w:pPr>
      <w:r w:rsidDel="00000000" w:rsidR="00000000" w:rsidRPr="00000000">
        <w:rPr>
          <w:rtl w:val="0"/>
        </w:rPr>
        <w:t xml:space="preserve">Non-disclosure of material environmental metrics (Emissions, Resource Use).</w:t>
        <w:br w:type="textWrapping"/>
      </w:r>
    </w:p>
    <w:p w:rsidR="00000000" w:rsidDel="00000000" w:rsidP="00000000" w:rsidRDefault="00000000" w:rsidRPr="00000000" w14:paraId="000000DA">
      <w:pPr>
        <w:numPr>
          <w:ilvl w:val="0"/>
          <w:numId w:val="6"/>
        </w:numPr>
        <w:spacing w:after="240" w:before="0" w:beforeAutospacing="0" w:lineRule="auto"/>
        <w:ind w:left="720" w:hanging="360"/>
        <w:rPr/>
      </w:pPr>
      <w:r w:rsidDel="00000000" w:rsidR="00000000" w:rsidRPr="00000000">
        <w:rPr>
          <w:rtl w:val="0"/>
        </w:rPr>
        <w:t xml:space="preserve">Severe ESG controversies, specifically ongoing violent community conflict with traditional transport operators.</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These two areas represent core risks under the LSEG Transparency Stimulation Rule (“Null = 0”) and ESG Controversies Overlay, which collectively shape the risk-adjusted ESGC score.</w:t>
      </w:r>
    </w:p>
    <w:p w:rsidR="00000000" w:rsidDel="00000000" w:rsidP="00000000" w:rsidRDefault="00000000" w:rsidRPr="00000000" w14:paraId="000000DC">
      <w:pPr>
        <w:rPr/>
      </w:pPr>
      <w:r w:rsidDel="00000000" w:rsidR="00000000" w:rsidRPr="00000000">
        <w:rPr>
          <w:rtl w:val="0"/>
        </w:rPr>
      </w:r>
    </w:p>
    <w:tbl>
      <w:tblPr>
        <w:tblStyle w:val="Table4"/>
        <w:tblpPr w:leftFromText="180" w:rightFromText="180" w:topFromText="180" w:bottomFromText="180" w:vertAnchor="text" w:horzAnchor="text" w:tblpX="-30" w:tblpY="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2.2540983606555"/>
        <w:gridCol w:w="925.450819672131"/>
        <w:gridCol w:w="1558.401639344262"/>
        <w:gridCol w:w="1817.3360655737704"/>
        <w:gridCol w:w="3356.55737704918"/>
        <w:tblGridChange w:id="0">
          <w:tblGrid>
            <w:gridCol w:w="1702.2540983606555"/>
            <w:gridCol w:w="925.450819672131"/>
            <w:gridCol w:w="1558.401639344262"/>
            <w:gridCol w:w="1817.3360655737704"/>
            <w:gridCol w:w="3356.55737704918"/>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jc w:val="center"/>
              <w:rPr/>
            </w:pPr>
            <w:r w:rsidDel="00000000" w:rsidR="00000000" w:rsidRPr="00000000">
              <w:rPr>
                <w:b w:val="1"/>
                <w:bCs w:val="1"/>
                <w:rtl w:val="0"/>
              </w:rPr>
              <w:t xml:space="preserve">Normalized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jc w:val="center"/>
              <w:rPr/>
            </w:pPr>
            <w:r w:rsidDel="00000000" w:rsidR="00000000" w:rsidRPr="00000000">
              <w:rPr>
                <w:b w:val="1"/>
                <w:bCs w:val="1"/>
                <w:rtl w:val="0"/>
              </w:rPr>
              <w:t xml:space="preserve">Weighted Contribution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jc w:val="center"/>
              <w:rPr/>
            </w:pPr>
            <w:r w:rsidDel="00000000" w:rsidR="00000000" w:rsidRPr="00000000">
              <w:rPr>
                <w:b w:val="1"/>
                <w:bCs w:val="1"/>
                <w:rtl w:val="0"/>
              </w:rPr>
              <w:t xml:space="preserve">Key Strengths / Weaknesses</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rPr/>
            </w:pPr>
            <w:r w:rsidDel="00000000" w:rsidR="00000000" w:rsidRPr="00000000">
              <w:rPr>
                <w:b w:val="1"/>
                <w:bCs w:val="1"/>
                <w:rtl w:val="0"/>
              </w:rPr>
              <w:t xml:space="preserve">Governance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rPr/>
            </w:pPr>
            <w:r w:rsidDel="00000000" w:rsidR="00000000" w:rsidRPr="00000000">
              <w:rPr>
                <w:rtl w:val="0"/>
              </w:rPr>
              <w:t xml:space="preserve">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rPr/>
            </w:pPr>
            <w:r w:rsidDel="00000000" w:rsidR="00000000" w:rsidRPr="00000000">
              <w:rPr>
                <w:b w:val="1"/>
                <w:bCs w:val="1"/>
                <w:rtl w:val="0"/>
              </w:rPr>
              <w:t xml:space="preserve">88.3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rPr/>
            </w:pPr>
            <w:r w:rsidDel="00000000" w:rsidR="00000000" w:rsidRPr="00000000">
              <w:rPr>
                <w:rtl w:val="0"/>
              </w:rPr>
              <w:t xml:space="preserve">28.26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rPr/>
            </w:pPr>
            <w:r w:rsidDel="00000000" w:rsidR="00000000" w:rsidRPr="00000000">
              <w:rPr>
                <w:rtl w:val="0"/>
              </w:rPr>
              <w:t xml:space="preserve">Strong board structure, post-IPO controls, minority shareholder protection.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rPr/>
            </w:pPr>
            <w:r w:rsidDel="00000000" w:rsidR="00000000" w:rsidRPr="00000000">
              <w:rPr>
                <w:b w:val="1"/>
                <w:bCs w:val="1"/>
                <w:rtl w:val="0"/>
              </w:rPr>
              <w:t xml:space="preserve">Social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rPr/>
            </w:pPr>
            <w:r w:rsidDel="00000000" w:rsidR="00000000" w:rsidRPr="00000000">
              <w:rPr>
                <w:rtl w:val="0"/>
              </w:rPr>
              <w:t xml:space="preserve">0.36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rPr/>
            </w:pPr>
            <w:r w:rsidDel="00000000" w:rsidR="00000000" w:rsidRPr="00000000">
              <w:rPr>
                <w:b w:val="1"/>
                <w:bCs w:val="1"/>
                <w:rtl w:val="0"/>
              </w:rPr>
              <w:t xml:space="preserve">84.8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rPr/>
            </w:pPr>
            <w:r w:rsidDel="00000000" w:rsidR="00000000" w:rsidRPr="00000000">
              <w:rPr>
                <w:rtl w:val="0"/>
              </w:rPr>
              <w:t xml:space="preserve">30.52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rPr/>
            </w:pPr>
            <w:r w:rsidDel="00000000" w:rsidR="00000000" w:rsidRPr="00000000">
              <w:rPr>
                <w:rtl w:val="0"/>
              </w:rPr>
              <w:t xml:space="preserve">Strong disclosure, IFC-aligned social programs, women’s safety initiatives.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rPr/>
            </w:pPr>
            <w:r w:rsidDel="00000000" w:rsidR="00000000" w:rsidRPr="00000000">
              <w:rPr>
                <w:b w:val="1"/>
                <w:bCs w:val="1"/>
                <w:rtl w:val="0"/>
              </w:rPr>
              <w:t xml:space="preserve">Environmental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rPr/>
            </w:pPr>
            <w:r w:rsidDel="00000000" w:rsidR="00000000" w:rsidRPr="00000000">
              <w:rPr>
                <w:rtl w:val="0"/>
              </w:rPr>
              <w:t xml:space="preserve">0.30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rPr/>
            </w:pPr>
            <w:r w:rsidDel="00000000" w:rsidR="00000000" w:rsidRPr="00000000">
              <w:rPr>
                <w:b w:val="1"/>
                <w:bCs w:val="1"/>
                <w:rtl w:val="0"/>
              </w:rPr>
              <w:t xml:space="preserve">43.4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rPr/>
            </w:pPr>
            <w:r w:rsidDel="00000000" w:rsidR="00000000" w:rsidRPr="00000000">
              <w:rPr>
                <w:rtl w:val="0"/>
              </w:rPr>
              <w:t xml:space="preserve">13.02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rPr/>
            </w:pPr>
            <w:r w:rsidDel="00000000" w:rsidR="00000000" w:rsidRPr="00000000">
              <w:rPr>
                <w:rtl w:val="0"/>
              </w:rPr>
              <w:t xml:space="preserve">Major disclosure gaps under GRI 305, 303, 306 resulting in structural penalties.</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72d5exnljpmj" w:id="8"/>
      <w:bookmarkEnd w:id="8"/>
      <w:r w:rsidDel="00000000" w:rsidR="00000000" w:rsidRPr="00000000">
        <w:rPr>
          <w:b w:val="1"/>
          <w:bCs w:val="1"/>
          <w:color w:val="000000"/>
          <w:sz w:val="26"/>
          <w:szCs w:val="26"/>
          <w:rtl w:val="0"/>
        </w:rPr>
        <w:t xml:space="preserve">Key Observations by Pillar</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3ae5vk6bdd5h" w:id="9"/>
      <w:bookmarkEnd w:id="9"/>
      <w:r w:rsidDel="00000000" w:rsidR="00000000" w:rsidRPr="00000000">
        <w:rPr>
          <w:b w:val="1"/>
          <w:bCs w:val="1"/>
          <w:color w:val="000000"/>
          <w:sz w:val="22"/>
          <w:szCs w:val="22"/>
          <w:rtl w:val="0"/>
        </w:rPr>
        <w:t xml:space="preserve">1. Governance (88.3)</w:t>
      </w:r>
    </w:p>
    <w:p w:rsidR="00000000" w:rsidDel="00000000" w:rsidP="00000000" w:rsidRDefault="00000000" w:rsidRPr="00000000" w14:paraId="000000F4">
      <w:pPr>
        <w:spacing w:after="240" w:before="240" w:lineRule="auto"/>
        <w:rPr/>
      </w:pPr>
      <w:r w:rsidDel="00000000" w:rsidR="00000000" w:rsidRPr="00000000">
        <w:rPr>
          <w:rtl w:val="0"/>
        </w:rPr>
        <w:t xml:space="preserve">PKME exhibits </w:t>
      </w:r>
      <w:r w:rsidDel="00000000" w:rsidR="00000000" w:rsidRPr="00000000">
        <w:rPr>
          <w:b w:val="1"/>
          <w:bCs w:val="1"/>
          <w:rtl w:val="0"/>
        </w:rPr>
        <w:t xml:space="preserve">strong post-listing maturity</w:t>
      </w:r>
      <w:r w:rsidDel="00000000" w:rsidR="00000000" w:rsidRPr="00000000">
        <w:rPr>
          <w:rtl w:val="0"/>
        </w:rPr>
        <w:t xml:space="preserve">: separation of Chair/CEO roles, independent committees, and effective management of founder ownership concentration (35.79%). The only identified limitation is </w:t>
      </w:r>
      <w:r w:rsidDel="00000000" w:rsidR="00000000" w:rsidRPr="00000000">
        <w:rPr>
          <w:b w:val="1"/>
          <w:bCs w:val="1"/>
          <w:rtl w:val="0"/>
        </w:rPr>
        <w:t xml:space="preserve">low board gender diversity (11.1%)</w:t>
      </w:r>
      <w:r w:rsidDel="00000000" w:rsidR="00000000" w:rsidRPr="00000000">
        <w:rPr>
          <w:rtl w:val="0"/>
        </w:rPr>
        <w:t xml:space="preserve">.</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lt9hewkj5vrw" w:id="10"/>
      <w:bookmarkEnd w:id="10"/>
      <w:r w:rsidDel="00000000" w:rsidR="00000000" w:rsidRPr="00000000">
        <w:rPr>
          <w:b w:val="1"/>
          <w:bCs w:val="1"/>
          <w:color w:val="000000"/>
          <w:sz w:val="22"/>
          <w:szCs w:val="22"/>
          <w:rtl w:val="0"/>
        </w:rPr>
        <w:t xml:space="preserve">2. Social (84.8)</w:t>
      </w:r>
    </w:p>
    <w:p w:rsidR="00000000" w:rsidDel="00000000" w:rsidP="00000000" w:rsidRDefault="00000000" w:rsidRPr="00000000" w14:paraId="000000F6">
      <w:pPr>
        <w:spacing w:after="240" w:before="240" w:lineRule="auto"/>
        <w:rPr/>
      </w:pPr>
      <w:r w:rsidDel="00000000" w:rsidR="00000000" w:rsidRPr="00000000">
        <w:rPr>
          <w:rtl w:val="0"/>
        </w:rPr>
        <w:t xml:space="preserve">The company demonstrates strong social stewardship through IFC-influenced human rights frameworks, gig-worker support programs, and initiatives such as </w:t>
      </w:r>
      <w:r w:rsidDel="00000000" w:rsidR="00000000" w:rsidRPr="00000000">
        <w:rPr>
          <w:b w:val="1"/>
          <w:bCs w:val="1"/>
          <w:rtl w:val="0"/>
        </w:rPr>
        <w:t xml:space="preserve">“Lady First”</w:t>
      </w:r>
      <w:r w:rsidDel="00000000" w:rsidR="00000000" w:rsidRPr="00000000">
        <w:rPr>
          <w:rtl w:val="0"/>
        </w:rPr>
        <w:t xml:space="preserve"> and “Nena Pahana.”However, unresolved community conflict and low internal female workforce representation (28%) introduce internal policy-to-practice inconsistency.</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afdfgq329qez" w:id="11"/>
      <w:bookmarkEnd w:id="11"/>
      <w:r w:rsidDel="00000000" w:rsidR="00000000" w:rsidRPr="00000000">
        <w:rPr>
          <w:b w:val="1"/>
          <w:bCs w:val="1"/>
          <w:color w:val="000000"/>
          <w:sz w:val="22"/>
          <w:szCs w:val="22"/>
          <w:rtl w:val="0"/>
        </w:rPr>
        <w:t xml:space="preserve">3. Environmental (43.4)</w:t>
      </w:r>
    </w:p>
    <w:p w:rsidR="00000000" w:rsidDel="00000000" w:rsidP="00000000" w:rsidRDefault="00000000" w:rsidRPr="00000000" w14:paraId="000000F8">
      <w:pPr>
        <w:spacing w:after="240" w:before="240" w:lineRule="auto"/>
        <w:rPr/>
      </w:pPr>
      <w:r w:rsidDel="00000000" w:rsidR="00000000" w:rsidRPr="00000000">
        <w:rPr>
          <w:rtl w:val="0"/>
        </w:rPr>
        <w:t xml:space="preserve">The low score reflects </w:t>
      </w:r>
      <w:r w:rsidDel="00000000" w:rsidR="00000000" w:rsidRPr="00000000">
        <w:rPr>
          <w:b w:val="1"/>
          <w:bCs w:val="1"/>
          <w:rtl w:val="0"/>
        </w:rPr>
        <w:t xml:space="preserve">absence of quantitative disclosure</w:t>
      </w:r>
      <w:r w:rsidDel="00000000" w:rsidR="00000000" w:rsidRPr="00000000">
        <w:rPr>
          <w:rtl w:val="0"/>
        </w:rPr>
        <w:t xml:space="preserve">, not necessarily poor performance. Despite possessing the technological capability (Mission Control fleet analytics), Scope 1–3 emissions and resource-use reporting are deferred as “future goals,” triggering maximum LSEG penalties.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3819878" cy="163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9878" cy="1639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