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Revenue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PickMe’s revenue trajectory is driven by four major factors across user growth, supply expansion, rising engagement, and steady spend per movement.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PickMe’s revenue growth in FY24 and FY25, at 97.6ppts and 46.4ppts, respectively, has been driven primarily by rapid expansion of its user base, which grew 100.7ppts YoY in FY24 and 48.9ppts YoY in FY25. This growth reflects rising internet penetration in Sri Lanka, where PickMe now captures a 10% market share of 12.4 million internet users, representing 54% of the national population. To date, growth has been concentrated in high-adoption green regions, but expansion into yellow regions characterized by high tourist activity and strong e-commerce penetration along with vertical integration into delivery, marketplace, courier, and events, positions PickMe to unlock latent demand across both region types. Further growth is supported by population migration into green regions and new industrial zone developments.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ee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ee0000"/>
          <w:sz w:val="24"/>
          <w:szCs w:val="24"/>
          <w:u w:val="none"/>
          <w:shd w:fill="auto" w:val="clear"/>
          <w:vertAlign w:val="baseline"/>
          <w:rtl w:val="0"/>
        </w:rPr>
        <w:t xml:space="preserve">(Charts : User growth with penetration rate, revenue growth, Sri Lanka map with clusters marked as currrent and expanding)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supply side, PickMe has maintained strong coverage despite rapid user growth. Users per merchant remained stable at 300 in FY24, improving slightly to 298 in FY25, while users per driver held steady at 3 across both years. Colombo, the epicenter of Sri Lanka’s economic activity, sees 1.9 million daily commuters and over 600,000 vehicles entering the city daily, creating severe congestion and reducing peak-hour travel speeds to 7–12 km/h from 22km/h in 2012. This environment structurally favors motorbike ride-hailing, valued for speed, affordability, and maneuverability. In response, PickMe reduced motorbike commission rates from 12% to 8%, boosting driver economics and incentivizing supply growth in its second-largest ride-hailing vertical. Macro trends reinforce this opportunity, with ~75% of vehicle imports in FY25 being motorbikes following the lifting of the import ban. Expansion into the Northern region, where motorbikes dominate transport, further strengthens the platform’s position in two-wheeler mobility.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ee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ee0000"/>
          <w:sz w:val="24"/>
          <w:szCs w:val="24"/>
          <w:u w:val="none"/>
          <w:shd w:fill="auto" w:val="clear"/>
          <w:vertAlign w:val="baseline"/>
          <w:rtl w:val="0"/>
        </w:rPr>
        <w:t xml:space="preserve">(Charts : paltform user per supply coverage, colombo travel speed decline and motor bike population growth, first half import vehicle import composition)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pushback from legacy tuk drivers, PickMe’s platform remains the most efficient option: PickMe tuk drivers operate at 81% utilization versus 31% for legacy drivers, attracting 140% more riders per day and delivering 23% more supply hours. The delivery vertical has also enabled women entrepreneurs operating dark stores and cloud kitchens to leverage the platform as a distribution arm. Network effects have driven a 50% increase in merchant registrations in FY25, supported by exclusive partnerships, such as with Spar, for non-restaurant retail deliveries.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color w:val="ee0000"/>
        </w:rPr>
      </w:pPr>
      <w:r w:rsidDel="00000000" w:rsidR="00000000" w:rsidRPr="00000000">
        <w:rPr>
          <w:color w:val="ee0000"/>
          <w:rtl w:val="0"/>
        </w:rPr>
        <w:t xml:space="preserve">(Charts : Tuk efficiency infographic)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 has also driven higher platform engagement through increased user frequency. Average monthly movements per user fell to 3.5x in 2022 from 4x in 2021, reflecting economic slowdown, but rebounded to 4x in 2023 and reached 5x in FY25 amid economic recovery and greater population circulation. Despite this, 55% of PickMe users use less than 3 times a month which is lower than the usage of ride hailing in countries with similar transport infrstructure and ineffeicnies, in APAC region 33% of use ride hailing few times a week and 12% rely on it daily, contrastingly in advanced economies 17% of users use once a week low due to better transit services offered, most usage comes from non-commuter transport needs. With Sri Lanka’s inefficient transit system, PickMe is positioned to capture unmet commuter and non-commuter mobility demand. As a first- and last-mile transport platform, PickMe’s potential integration with public transport is significant; in 2021, Uber Sri Lanka reported 1 in 7 rides originated from public transit users. The government’s approval to build multi-modal transport hubs in 15 urban centers, 9 of which are in green regions, will further drive demand, particularly in high internet and e-commerce regions. Vertical expansion into Events and Courier services is also expected to strengthen network effects and increase overall platform engagement.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color w:val="ee0000"/>
        </w:rPr>
      </w:pPr>
      <w:r w:rsidDel="00000000" w:rsidR="00000000" w:rsidRPr="00000000">
        <w:rPr>
          <w:color w:val="ee0000"/>
          <w:rtl w:val="0"/>
        </w:rPr>
        <w:t xml:space="preserve">(Charts : average movement per user per month chart, platform usage comparison (Pickme, APAC and US&amp;EU), Infographic to show demand publi transit and planned Multi Modal Hubs)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PickMe has maintained stable consumer spend per movement, growing ~2% YoY from FY21–FY25. By offering lower-cost per kilometer than legacy tuks where road Tuk charges LKR 100 while PickMe offers at LKR 65 per Km as of 2024. Recovery in the retail sector and adoption of online services, coupled with exclusive partnerships for non-restaurant and pharmaceutical delivery, positions the platform to capture additional spend from the elderly population and urban households. Integration of all verticals supports long-term upside in consumer spending per movement.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color w:val="ee0000"/>
        </w:rPr>
      </w:pPr>
      <w:r w:rsidDel="00000000" w:rsidR="00000000" w:rsidRPr="00000000">
        <w:rPr>
          <w:color w:val="ee0000"/>
          <w:rtl w:val="0"/>
        </w:rPr>
        <w:t xml:space="preserve">(Charts : Average GTV per moment chart, Legacy tuk price per Km vs PickMe chart, exclusive non-restaurant retail partners with pharmacys listed, elderly population growth)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Margin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PickMe’s margin expansion is underpinned by three structural levers: FinOps optimization, an asset-light operating model, and disciplined cost management.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FinOps (Financial Operations) Enables Conversion of Variable to Semi-Variable Costs: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PickMe’s core offering—ride-hailing, delivery, marketplace, and courier services is a digital product, with costs driven by API calls, server cycles, data storage, and software licensing. These costs are inherently variable, scaling with platform usage. However, through long-term commitments for server usage and bulk platform volume discounts, PickMe has successfully converted a significant portion of its costs into semi-variable or fixed commitments, now covering 55% of total costs. Ongoing AI integration will further increase the fixed cost base but simultaneously enhance operational efficiency by reducing wait times, improving driver utilization, and ultimately contributing to top-line growth.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Asset-Light Model Drives Operational Leverage: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of FY25, PickMe employed 375 staff, over 200 of whom are software engineers whose roles do not scale proportionally with user or driver growth. This results in a lean 3.59 employees per 1,000 drivers and merchants, meaning revenue can grow significantly without a proportional increase in administrative costs. The platform’s human capital is largely fixed, allowing costs to grow only marginally relative to transaction volumes, enhancing overall margin scalability.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 Discipline Supports Economies of Scale: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PickMe’s cost structure continues to improve, with customer acquisition costs (CAC) declining 5% YoY (FY21–FY25), reflecting more efficient marketing and deeper platform penetration. Its 1:3.2 CAC/LTV ratio sits firmly within the healthy 1:3–1:5 global benchmark, underscoring strong unit economics.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 FinOps-driven cloud optimization and an asset-light model, PickMe converts variable infrastructure costs into semi-variable blocks, reducing cost per moment as volumes scale. This creates stronger operating leverage and supports steady improvements in EBIT margins.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color w:val="ee0000"/>
        </w:rPr>
      </w:pPr>
      <w:r w:rsidDel="00000000" w:rsidR="00000000" w:rsidRPr="00000000">
        <w:rPr>
          <w:color w:val="ee0000"/>
          <w:rtl w:val="0"/>
        </w:rPr>
        <w:t xml:space="preserve">(Charts : Margin bridge from each expenses over the yar chart, non-operational employee comparison between competitors or related, CAC chart, CAC LTV conparsions with global benchmarks, Cost per movement chart deline chart).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Competitions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 is uniquely positioned to secure long-term market dominance, not just through its current market share, but through strong financial strength and a strategic approach that competitors cannot easily replicate. From the beginning, PickMe established itself as the market leader in Sri Lanka’s ride-hailing segment, navigating a crowded field of 26 competitors to emerge on top.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nature of the ride-hailing product is fundamentally homogenous; a ride is an undifferentiated service where the primary competitive lever is price. Consequently, market supremacy is determined by which player can sustain the deepest discounts and incentives the longest.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"Cash Dilution" Barrier for Entrants: Any new entrant seeking to challenge PickMe’s 70% market share faces a massive capital barrier. To capture market share in this undifferentiated landscape, a challenger must burn significant cash on customer acquisition and subsidies. This requires substantial equity dilution to raise funds.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PickMe’s Zero-Debt Advantage: In contrast, PickMe operates with a zero-debt profile and high liquidity, bolstered by EBITDA margins of over 40%. This financial fortress allows PickMe to defend its territory aggressively. It can withstand prolonged price wars without the pressure of debt servicing, forcing competitors to exhaust their cash reserves while PickMe maintains its standing.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Domain Mastery as an intangible Moat While the service itself is similar across platforms, the operational execution is not. As the local pioneer and market leader, PickMe benefits from years of accumulated domain knowledge that a new entrant cannot simply buy.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PickMe’s established dominance has created a self-reinforcing network effect where a larger driver base attracts more users, and vice versa. This "operational maturity" creates a barrier to entry, as new competitors cannot match the reliability and availability ingrained in PickMe’s system over years of operation.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Sri Lanka features regions with low urbanization but increasingly high e-commerce engagement. Traditional logistics providers often struggle with the "last mile" in these fragmented areas. By expanding horizontally into these districts, PickMe is positioning its fleet to serve as the logistics backbone for these communities. This vertical integration into logistics and parcel delivery allows PickMe to monetize the same driver network across multiple revenue streams (rides + goods), maximizing asset utilization in a way that a pure-play ride-hailing competitor cannot.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color w:val="ee0000"/>
        </w:rPr>
      </w:pPr>
      <w:r w:rsidDel="00000000" w:rsidR="00000000" w:rsidRPr="00000000">
        <w:rPr>
          <w:color w:val="ee0000"/>
          <w:rtl w:val="0"/>
        </w:rPr>
        <w:t xml:space="preserve">(Charts : major competitors visualization from 26, financial position visualization, pickme timeline and milestones and accolades (domain mastery), network loop infographic, expansion map)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L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71CA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71CA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71CA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71CA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71CA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71CA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71CA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71CA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71CA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71CA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71CA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71CA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71CA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71CA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71CA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71CA9"/>
    <w:rPr>
      <w:rFonts w:cs="Arial Unicode MS"/>
      <w:i w:val="1"/>
      <w:iCs w:val="1"/>
      <w:color w:val="404040" w:themeColor="text1" w:themeTint="0000BF"/>
    </w:rPr>
  </w:style>
  <w:style w:type="paragraph" w:styleId="ListParagraph">
    <w:name w:val="List Paragraph"/>
    <w:basedOn w:val="Normal"/>
    <w:uiPriority w:val="34"/>
    <w:qFormat w:val="1"/>
    <w:rsid w:val="00971CA9"/>
    <w:pPr>
      <w:ind w:left="720"/>
      <w:contextualSpacing w:val="1"/>
    </w:pPr>
  </w:style>
  <w:style w:type="character" w:styleId="IntenseEmphasis">
    <w:name w:val="Intense Emphasis"/>
    <w:basedOn w:val="DefaultParagraphFont"/>
    <w:uiPriority w:val="21"/>
    <w:qFormat w:val="1"/>
    <w:rsid w:val="00971CA9"/>
    <w:rPr>
      <w:i w:val="1"/>
      <w:iCs w:val="1"/>
      <w:color w:val="0f4761" w:themeColor="accent1" w:themeShade="0000BF"/>
    </w:rPr>
  </w:style>
  <w:style w:type="paragraph" w:styleId="IntenseQuote">
    <w:name w:val="Intense Quote"/>
    <w:basedOn w:val="Normal"/>
    <w:next w:val="Normal"/>
    <w:link w:val="IntenseQuoteChar"/>
    <w:uiPriority w:val="30"/>
    <w:qFormat w:val="1"/>
    <w:rsid w:val="00971CA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71CA9"/>
    <w:rPr>
      <w:rFonts w:cs="Arial Unicode MS"/>
      <w:i w:val="1"/>
      <w:iCs w:val="1"/>
      <w:color w:val="0f4761" w:themeColor="accent1" w:themeShade="0000BF"/>
    </w:rPr>
  </w:style>
  <w:style w:type="character" w:styleId="IntenseReference">
    <w:name w:val="Intense Reference"/>
    <w:basedOn w:val="DefaultParagraphFont"/>
    <w:uiPriority w:val="32"/>
    <w:qFormat w:val="1"/>
    <w:rsid w:val="00971CA9"/>
    <w:rPr>
      <w:b w:val="1"/>
      <w:bCs w:val="1"/>
      <w:smallCaps w:val="1"/>
      <w:color w:val="0f4761" w:themeColor="accent1" w:themeShade="0000BF"/>
      <w:spacing w:val="5"/>
    </w:rPr>
  </w:style>
  <w:style w:type="paragraph" w:styleId="p1" w:customStyle="1">
    <w:name w:val="p1"/>
    <w:basedOn w:val="Normal"/>
    <w:rsid w:val="00971CA9"/>
    <w:pPr>
      <w:spacing w:after="100" w:afterAutospacing="1" w:before="100" w:beforeAutospacing="1" w:line="240" w:lineRule="auto"/>
    </w:pPr>
    <w:rPr>
      <w:rFonts w:ascii="Times New Roman" w:cs="Times New Roman" w:eastAsia="Times New Roman" w:hAnsi="Times New Roman"/>
      <w:kern w:val="0"/>
      <w:lang w:eastAsia="en-GB"/>
    </w:rPr>
  </w:style>
  <w:style w:type="character" w:styleId="s1" w:customStyle="1">
    <w:name w:val="s1"/>
    <w:basedOn w:val="DefaultParagraphFont"/>
    <w:rsid w:val="00971CA9"/>
  </w:style>
  <w:style w:type="paragraph" w:styleId="p2" w:customStyle="1">
    <w:name w:val="p2"/>
    <w:basedOn w:val="Normal"/>
    <w:rsid w:val="00971CA9"/>
    <w:pPr>
      <w:spacing w:after="100" w:afterAutospacing="1" w:before="100" w:beforeAutospacing="1" w:line="240" w:lineRule="auto"/>
    </w:pPr>
    <w:rPr>
      <w:rFonts w:ascii="Times New Roman" w:cs="Times New Roman" w:eastAsia="Times New Roman" w:hAnsi="Times New Roman"/>
      <w:kern w:val="0"/>
      <w:lang w:eastAsia="en-GB"/>
    </w:rPr>
  </w:style>
  <w:style w:type="paragraph" w:styleId="p3" w:customStyle="1">
    <w:name w:val="p3"/>
    <w:basedOn w:val="Normal"/>
    <w:rsid w:val="00971CA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rmalWeb">
    <w:name w:val="Normal (Web)"/>
    <w:basedOn w:val="Normal"/>
    <w:uiPriority w:val="99"/>
    <w:unhideWhenUsed w:val="1"/>
    <w:rsid w:val="004C726F"/>
    <w:pPr>
      <w:spacing w:after="100" w:afterAutospacing="1" w:before="100" w:beforeAutospacing="1" w:line="240" w:lineRule="auto"/>
    </w:pPr>
    <w:rPr>
      <w:rFonts w:ascii="Times New Roman" w:cs="Times New Roman" w:eastAsia="Times New Roman" w:hAnsi="Times New Roman"/>
      <w:kern w:val="0"/>
      <w:lang w:eastAsia="en-GB"/>
    </w:rPr>
  </w:style>
  <w:style w:type="character" w:styleId="apple-converted-space" w:customStyle="1">
    <w:name w:val="apple-converted-space"/>
    <w:basedOn w:val="DefaultParagraphFont"/>
    <w:rsid w:val="004C726F"/>
  </w:style>
  <w:style w:type="character" w:styleId="citation-68" w:customStyle="1">
    <w:name w:val="citation-68"/>
    <w:basedOn w:val="DefaultParagraphFont"/>
    <w:rsid w:val="004C726F"/>
  </w:style>
  <w:style w:type="character" w:styleId="citation-67" w:customStyle="1">
    <w:name w:val="citation-67"/>
    <w:basedOn w:val="DefaultParagraphFont"/>
    <w:rsid w:val="004C726F"/>
  </w:style>
  <w:style w:type="character" w:styleId="citation-66" w:customStyle="1">
    <w:name w:val="citation-66"/>
    <w:basedOn w:val="DefaultParagraphFont"/>
    <w:rsid w:val="004C726F"/>
  </w:style>
  <w:style w:type="character" w:styleId="citation-65" w:customStyle="1">
    <w:name w:val="citation-65"/>
    <w:basedOn w:val="DefaultParagraphFont"/>
    <w:rsid w:val="004C726F"/>
  </w:style>
  <w:style w:type="character" w:styleId="citation-64" w:customStyle="1">
    <w:name w:val="citation-64"/>
    <w:basedOn w:val="DefaultParagraphFont"/>
    <w:rsid w:val="004C726F"/>
  </w:style>
  <w:style w:type="character" w:styleId="citation-63" w:customStyle="1">
    <w:name w:val="citation-63"/>
    <w:basedOn w:val="DefaultParagraphFont"/>
    <w:rsid w:val="004C726F"/>
  </w:style>
  <w:style w:type="character" w:styleId="citation-62" w:customStyle="1">
    <w:name w:val="citation-62"/>
    <w:basedOn w:val="DefaultParagraphFont"/>
    <w:rsid w:val="004C726F"/>
  </w:style>
  <w:style w:type="character" w:styleId="citation-61" w:customStyle="1">
    <w:name w:val="citation-61"/>
    <w:basedOn w:val="DefaultParagraphFont"/>
    <w:rsid w:val="004C726F"/>
  </w:style>
  <w:style w:type="character" w:styleId="citation-60" w:customStyle="1">
    <w:name w:val="citation-60"/>
    <w:basedOn w:val="DefaultParagraphFont"/>
    <w:rsid w:val="004C726F"/>
  </w:style>
  <w:style w:type="character" w:styleId="citation-59" w:customStyle="1">
    <w:name w:val="citation-59"/>
    <w:basedOn w:val="DefaultParagraphFont"/>
    <w:rsid w:val="004C726F"/>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V9zibZntfknT3J1kwewdCT1A==">CgMxLjA4AHIhMUd1NUJlVkp0SVJiLXZVYVRVSmNlQV90QWRFRGRKemJt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2025-11-18T15:18:00Z</dcterms:created>
  <dc:creator>FE/2021/077 - FAHAM M.F.M.</dc:creator>
</cp:coreProperties>
</file>