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09D6F" w14:textId="77777777" w:rsidR="00477C4E" w:rsidRPr="00C32E55" w:rsidRDefault="00477C4E" w:rsidP="00477C4E">
      <w:pPr>
        <w:spacing w:after="0" w:line="240" w:lineRule="auto"/>
        <w:jc w:val="both"/>
        <w:rPr>
          <w:rFonts w:ascii="Segoe UI" w:hAnsi="Segoe UI" w:cs="Segoe UI"/>
          <w:sz w:val="16"/>
          <w:szCs w:val="16"/>
        </w:rPr>
      </w:pPr>
      <w:r w:rsidRPr="00BA0473">
        <w:rPr>
          <w:rFonts w:ascii="Segoe UI" w:hAnsi="Segoe UI" w:cs="Segoe UI"/>
          <w:noProof/>
          <w:color w:val="000000" w:themeColor="text1"/>
          <w:sz w:val="20"/>
          <w:szCs w:val="20"/>
        </w:rPr>
        <mc:AlternateContent>
          <mc:Choice Requires="wps">
            <w:drawing>
              <wp:anchor distT="0" distB="0" distL="114300" distR="114300" simplePos="0" relativeHeight="251660288" behindDoc="0" locked="0" layoutInCell="1" allowOverlap="1" wp14:anchorId="6F81325E" wp14:editId="4A763EED">
                <wp:simplePos x="0" y="0"/>
                <wp:positionH relativeFrom="margin">
                  <wp:posOffset>-7684</wp:posOffset>
                </wp:positionH>
                <wp:positionV relativeFrom="paragraph">
                  <wp:posOffset>183830</wp:posOffset>
                </wp:positionV>
                <wp:extent cx="4808220" cy="0"/>
                <wp:effectExtent l="0" t="0" r="0" b="0"/>
                <wp:wrapNone/>
                <wp:docPr id="614502097"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2D5D02" id="Straight Connector 122"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14.45pt" to="378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" strokecolor="#002060" strokeweight="1.5pt">
                <v:stroke joinstyle="miter"/>
                <w10:wrap anchorx="margin"/>
              </v:line>
            </w:pict>
          </mc:Fallback>
        </mc:AlternateContent>
      </w:r>
      <w:r w:rsidRPr="00BA0473">
        <w:rPr>
          <w:rFonts w:ascii="Segoe UI" w:hAnsi="Segoe UI" w:cs="Segoe UI"/>
          <w:b/>
          <w:sz w:val="20"/>
          <w:szCs w:val="20"/>
        </w:rPr>
        <w:t>ENVIRONMENTAL, SOCIAL, GOVERNANCE</w:t>
      </w:r>
    </w:p>
    <w:p w14:paraId="74947CC5" w14:textId="3EC32600" w:rsidR="00477C4E" w:rsidRPr="001F15EA" w:rsidRDefault="00477C4E" w:rsidP="00477C4E">
      <w:pPr>
        <w:spacing w:after="0" w:line="240" w:lineRule="auto"/>
        <w:jc w:val="both"/>
        <w:rPr>
          <w:sz w:val="17"/>
          <w:szCs w:val="17"/>
        </w:rPr>
      </w:pPr>
      <w:r w:rsidRPr="001F15EA">
        <w:rPr>
          <w:rFonts w:ascii="Segoe UI" w:hAnsi="Segoe UI" w:cs="Segoe UI"/>
          <w:sz w:val="17"/>
          <w:szCs w:val="17"/>
        </w:rPr>
        <w:t>We assessed PKME’s ESG performance using the Refinitiv ESG scoring framework, where the company achieved a score of 76.3%</w:t>
      </w:r>
      <w:r>
        <w:rPr>
          <w:rFonts w:ascii="Segoe UI" w:hAnsi="Segoe UI" w:cs="Segoe UI"/>
          <w:sz w:val="17"/>
          <w:szCs w:val="17"/>
        </w:rPr>
        <w:t xml:space="preserve"> </w:t>
      </w:r>
      <w:r w:rsidRPr="00491B64">
        <w:rPr>
          <w:rFonts w:ascii="Segoe UI" w:hAnsi="Segoe UI" w:cs="Segoe UI"/>
          <w:b/>
          <w:bCs/>
          <w:sz w:val="17"/>
          <w:szCs w:val="17"/>
        </w:rPr>
        <w:t>(</w:t>
      </w:r>
      <w:r w:rsidRPr="00491B64">
        <w:rPr>
          <w:rFonts w:ascii="Segoe UI" w:hAnsi="Segoe UI" w:cs="Segoe UI"/>
          <w:b/>
          <w:bCs/>
          <w:sz w:val="17"/>
          <w:szCs w:val="17"/>
        </w:rPr>
        <w:fldChar w:fldCharType="begin"/>
      </w:r>
      <w:r w:rsidRPr="00491B64">
        <w:rPr>
          <w:rFonts w:ascii="Segoe UI" w:hAnsi="Segoe UI" w:cs="Segoe UI"/>
          <w:b/>
          <w:bCs/>
          <w:sz w:val="17"/>
          <w:szCs w:val="17"/>
        </w:rPr>
        <w:instrText xml:space="preserve"> REF _Ref217016890 \h  \* MERGEFORMAT </w:instrText>
      </w:r>
      <w:r w:rsidRPr="00491B64">
        <w:rPr>
          <w:rFonts w:ascii="Segoe UI" w:hAnsi="Segoe UI" w:cs="Segoe UI"/>
          <w:b/>
          <w:bCs/>
          <w:sz w:val="17"/>
          <w:szCs w:val="17"/>
        </w:rPr>
      </w:r>
      <w:r w:rsidRPr="00491B64">
        <w:rPr>
          <w:rFonts w:ascii="Segoe UI" w:hAnsi="Segoe UI" w:cs="Segoe UI"/>
          <w:b/>
          <w:bCs/>
          <w:sz w:val="17"/>
          <w:szCs w:val="17"/>
        </w:rPr>
        <w:fldChar w:fldCharType="separate"/>
      </w:r>
      <w:r w:rsidRPr="00491B64">
        <w:rPr>
          <w:rFonts w:ascii="Segoe UI" w:hAnsi="Segoe UI" w:cs="Segoe UI"/>
          <w:b/>
          <w:bCs/>
          <w:sz w:val="17"/>
          <w:szCs w:val="17"/>
        </w:rPr>
        <w:t xml:space="preserve">Figure </w:t>
      </w:r>
      <w:r w:rsidRPr="00491B64">
        <w:rPr>
          <w:rFonts w:ascii="Segoe UI" w:hAnsi="Segoe UI" w:cs="Segoe UI"/>
          <w:b/>
          <w:bCs/>
          <w:noProof/>
          <w:sz w:val="17"/>
          <w:szCs w:val="17"/>
        </w:rPr>
        <w:t>36</w:t>
      </w:r>
      <w:r w:rsidRPr="00491B64">
        <w:rPr>
          <w:rFonts w:ascii="Segoe UI" w:hAnsi="Segoe UI" w:cs="Segoe UI"/>
          <w:b/>
          <w:bCs/>
          <w:sz w:val="17"/>
          <w:szCs w:val="17"/>
        </w:rPr>
        <w:fldChar w:fldCharType="end"/>
      </w:r>
      <w:r w:rsidRPr="00491B64">
        <w:rPr>
          <w:rFonts w:ascii="Segoe UI" w:hAnsi="Segoe UI" w:cs="Segoe UI"/>
          <w:b/>
          <w:bCs/>
          <w:sz w:val="17"/>
          <w:szCs w:val="17"/>
        </w:rPr>
        <w:t>)</w:t>
      </w:r>
      <w:r w:rsidRPr="00AC5350">
        <w:rPr>
          <w:rFonts w:ascii="Segoe UI" w:hAnsi="Segoe UI" w:cs="Segoe UI"/>
          <w:b/>
          <w:bCs/>
          <w:sz w:val="17"/>
          <w:szCs w:val="17"/>
        </w:rPr>
        <w:t>(</w:t>
      </w:r>
      <w:hyperlink w:anchor="_Appendix_12:_ESG" w:history="1">
        <w:r w:rsidRPr="00AC5350">
          <w:rPr>
            <w:rStyle w:val="Hyperlink"/>
            <w:rFonts w:ascii="Segoe UI" w:hAnsi="Segoe UI" w:cs="Segoe UI"/>
            <w:b/>
            <w:bCs/>
            <w:sz w:val="17"/>
            <w:szCs w:val="17"/>
          </w:rPr>
          <w:t>Appendix 12)</w:t>
        </w:r>
      </w:hyperlink>
      <w:r w:rsidRPr="00491B64">
        <w:rPr>
          <w:rFonts w:ascii="Segoe UI" w:hAnsi="Segoe UI" w:cs="Segoe UI"/>
          <w:b/>
          <w:bCs/>
          <w:sz w:val="17"/>
          <w:szCs w:val="17"/>
        </w:rPr>
        <w:t>.</w:t>
      </w:r>
      <w:r w:rsidRPr="001F15EA">
        <w:rPr>
          <w:rFonts w:ascii="Segoe UI" w:hAnsi="Segoe UI" w:cs="Segoe UI"/>
          <w:sz w:val="17"/>
          <w:szCs w:val="17"/>
        </w:rPr>
        <w:t xml:space="preserve"> Based on Sustainalytics’ methodology, PKME recorded a low ESG risk score of 19.</w:t>
      </w:r>
      <w:r>
        <w:rPr>
          <w:rFonts w:ascii="Segoe UI" w:hAnsi="Segoe UI" w:cs="Segoe UI"/>
          <w:sz w:val="17"/>
          <w:szCs w:val="17"/>
        </w:rPr>
        <w:t>6</w:t>
      </w:r>
      <w:r w:rsidRPr="001F15EA">
        <w:rPr>
          <w:rFonts w:ascii="Segoe UI" w:hAnsi="Segoe UI" w:cs="Segoe UI"/>
          <w:sz w:val="17"/>
          <w:szCs w:val="17"/>
        </w:rPr>
        <w:t>%</w:t>
      </w:r>
      <w:r>
        <w:rPr>
          <w:rFonts w:ascii="Segoe UI" w:hAnsi="Segoe UI" w:cs="Segoe UI"/>
          <w:sz w:val="17"/>
          <w:szCs w:val="17"/>
        </w:rPr>
        <w:t xml:space="preserve"> </w:t>
      </w:r>
      <w:r w:rsidRPr="00D54B80">
        <w:rPr>
          <w:rFonts w:ascii="Segoe UI" w:hAnsi="Segoe UI" w:cs="Segoe UI"/>
          <w:b/>
          <w:bCs/>
          <w:sz w:val="17"/>
          <w:szCs w:val="17"/>
        </w:rPr>
        <w:t>(</w:t>
      </w:r>
      <w:r w:rsidRPr="00D54B80">
        <w:rPr>
          <w:rFonts w:ascii="Segoe UI" w:hAnsi="Segoe UI" w:cs="Segoe UI"/>
          <w:b/>
          <w:bCs/>
          <w:sz w:val="17"/>
          <w:szCs w:val="17"/>
        </w:rPr>
        <w:fldChar w:fldCharType="begin"/>
      </w:r>
      <w:r w:rsidRPr="00D54B80">
        <w:rPr>
          <w:rFonts w:ascii="Segoe UI" w:hAnsi="Segoe UI" w:cs="Segoe UI"/>
          <w:b/>
          <w:bCs/>
          <w:sz w:val="17"/>
          <w:szCs w:val="17"/>
        </w:rPr>
        <w:instrText xml:space="preserve"> REF _Ref217016942 \h  \* MERGEFORMAT </w:instrText>
      </w:r>
      <w:r w:rsidRPr="00D54B80">
        <w:rPr>
          <w:rFonts w:ascii="Segoe UI" w:hAnsi="Segoe UI" w:cs="Segoe UI"/>
          <w:b/>
          <w:bCs/>
          <w:sz w:val="17"/>
          <w:szCs w:val="17"/>
        </w:rPr>
      </w:r>
      <w:r w:rsidRPr="00D54B80">
        <w:rPr>
          <w:rFonts w:ascii="Segoe UI" w:hAnsi="Segoe UI" w:cs="Segoe UI"/>
          <w:b/>
          <w:bCs/>
          <w:sz w:val="17"/>
          <w:szCs w:val="17"/>
        </w:rPr>
        <w:fldChar w:fldCharType="separate"/>
      </w:r>
      <w:r w:rsidRPr="00D54B80">
        <w:rPr>
          <w:rFonts w:ascii="Segoe UI" w:hAnsi="Segoe UI" w:cs="Segoe UI"/>
          <w:b/>
          <w:bCs/>
          <w:sz w:val="17"/>
          <w:szCs w:val="17"/>
        </w:rPr>
        <w:t xml:space="preserve">Figure </w:t>
      </w:r>
      <w:r w:rsidRPr="00D54B80">
        <w:rPr>
          <w:rFonts w:ascii="Segoe UI" w:hAnsi="Segoe UI" w:cs="Segoe UI"/>
          <w:b/>
          <w:bCs/>
          <w:noProof/>
          <w:sz w:val="17"/>
          <w:szCs w:val="17"/>
        </w:rPr>
        <w:t>37</w:t>
      </w:r>
      <w:r w:rsidRPr="00D54B80">
        <w:rPr>
          <w:rFonts w:ascii="Segoe UI" w:hAnsi="Segoe UI" w:cs="Segoe UI"/>
          <w:b/>
          <w:bCs/>
          <w:sz w:val="17"/>
          <w:szCs w:val="17"/>
        </w:rPr>
        <w:fldChar w:fldCharType="end"/>
      </w:r>
      <w:r w:rsidRPr="00D54B80">
        <w:rPr>
          <w:rFonts w:ascii="Segoe UI" w:hAnsi="Segoe UI" w:cs="Segoe UI"/>
          <w:b/>
          <w:bCs/>
          <w:sz w:val="17"/>
          <w:szCs w:val="17"/>
        </w:rPr>
        <w:t>).</w:t>
      </w:r>
      <w:r w:rsidRPr="001F15EA">
        <w:rPr>
          <w:rFonts w:ascii="Segoe UI" w:hAnsi="Segoe UI" w:cs="Segoe UI"/>
          <w:sz w:val="17"/>
          <w:szCs w:val="17"/>
        </w:rPr>
        <w:t xml:space="preserve"> </w:t>
      </w:r>
      <w:r w:rsidRPr="005F4A92">
        <w:rPr>
          <w:rFonts w:ascii="Segoe UI" w:hAnsi="Segoe UI" w:cs="Segoe UI"/>
          <w:sz w:val="17"/>
          <w:szCs w:val="17"/>
        </w:rPr>
        <w:t>This low-risk rating confirms that PKME effectively manages its material ESG exposures, ensuring long-term operational resilience.</w:t>
      </w:r>
      <w:r>
        <w:rPr>
          <w:rFonts w:ascii="Segoe UI" w:hAnsi="Segoe UI" w:cs="Segoe UI"/>
          <w:sz w:val="17"/>
          <w:szCs w:val="17"/>
        </w:rPr>
        <w:t xml:space="preserve"> </w:t>
      </w:r>
      <w:r w:rsidRPr="001F15EA">
        <w:rPr>
          <w:rFonts w:ascii="Segoe UI" w:hAnsi="Segoe UI" w:cs="Segoe UI"/>
          <w:sz w:val="17"/>
          <w:szCs w:val="17"/>
        </w:rPr>
        <w:t>The company exhibits varying levels of maturity across its ESG pillars, highlighted by strong governance and accountability structures. Furthermore, PKME’s environmental and social practices are aligned with the principles of the IFC Performance Standards on Environmental and Social Sustainability</w:t>
      </w:r>
      <w:r>
        <w:rPr>
          <w:rFonts w:ascii="Segoe UI" w:hAnsi="Segoe UI" w:cs="Segoe UI"/>
          <w:sz w:val="17"/>
          <w:szCs w:val="17"/>
        </w:rPr>
        <w:t xml:space="preserve"> </w:t>
      </w:r>
      <w:hyperlink w:anchor="_Appendix_12:_ESG" w:history="1">
        <w:r w:rsidRPr="00774265">
          <w:rPr>
            <w:rStyle w:val="Hyperlink"/>
            <w:rFonts w:ascii="Segoe UI" w:hAnsi="Segoe UI" w:cs="Segoe UI"/>
            <w:b/>
            <w:bCs/>
            <w:sz w:val="17"/>
            <w:szCs w:val="17"/>
          </w:rPr>
          <w:t>(Appendix 11)</w:t>
        </w:r>
      </w:hyperlink>
      <w:r w:rsidRPr="001F15EA">
        <w:rPr>
          <w:rFonts w:ascii="Segoe UI" w:hAnsi="Segoe UI" w:cs="Segoe UI"/>
          <w:sz w:val="17"/>
          <w:szCs w:val="17"/>
        </w:rPr>
        <w:t>.</w:t>
      </w:r>
      <w:r w:rsidRPr="00137D6B">
        <w:rPr>
          <w:rFonts w:ascii="Segoe UI" w:hAnsi="Segoe UI" w:cs="Segoe UI"/>
          <w:noProof/>
          <w:sz w:val="17"/>
          <w:szCs w:val="17"/>
        </w:rPr>
        <w:t xml:space="preserve"> </w:t>
      </w:r>
      <w:r w:rsidRPr="0029694A">
        <w:rPr>
          <w:rFonts w:ascii="Segoe UI" w:hAnsi="Segoe UI" w:cs="Segoe UI"/>
          <w:noProof/>
          <w:sz w:val="17"/>
          <w:szCs w:val="17"/>
        </w:rPr>
        <w:t>PKME outperforms the industry peer average of 7</w:t>
      </w:r>
      <w:r>
        <w:rPr>
          <w:rFonts w:ascii="Segoe UI" w:hAnsi="Segoe UI" w:cs="Segoe UI"/>
          <w:noProof/>
          <w:sz w:val="17"/>
          <w:szCs w:val="17"/>
        </w:rPr>
        <w:t>1.8</w:t>
      </w:r>
      <w:r w:rsidRPr="0029694A">
        <w:rPr>
          <w:rFonts w:ascii="Segoe UI" w:hAnsi="Segoe UI" w:cs="Segoe UI"/>
          <w:noProof/>
          <w:sz w:val="17"/>
          <w:szCs w:val="17"/>
        </w:rPr>
        <w:t>%, signaling its leadership in regional sustainability standards</w:t>
      </w:r>
      <w:r w:rsidRPr="007D4E63">
        <w:rPr>
          <w:rFonts w:ascii="Segoe UI" w:hAnsi="Segoe UI" w:cs="Segoe UI"/>
          <w:noProof/>
          <w:sz w:val="17"/>
          <w:szCs w:val="17"/>
        </w:rPr>
        <w:t>.</w:t>
      </w:r>
      <w:r w:rsidRPr="007D4E63">
        <w:rPr>
          <w:rFonts w:ascii="Segoe UI" w:hAnsi="Segoe UI" w:cs="Segoe UI"/>
          <w:b/>
          <w:bCs/>
          <w:noProof/>
          <w:sz w:val="17"/>
          <w:szCs w:val="17"/>
        </w:rPr>
        <w:t>(</w:t>
      </w:r>
      <w:r w:rsidRPr="007D4E63">
        <w:rPr>
          <w:rFonts w:ascii="Segoe UI" w:hAnsi="Segoe UI" w:cs="Segoe UI"/>
          <w:b/>
          <w:bCs/>
          <w:noProof/>
          <w:sz w:val="17"/>
          <w:szCs w:val="17"/>
        </w:rPr>
        <w:fldChar w:fldCharType="begin"/>
      </w:r>
      <w:r w:rsidRPr="007D4E63">
        <w:rPr>
          <w:rFonts w:ascii="Segoe UI" w:hAnsi="Segoe UI" w:cs="Segoe UI"/>
          <w:b/>
          <w:bCs/>
          <w:noProof/>
          <w:sz w:val="17"/>
          <w:szCs w:val="17"/>
        </w:rPr>
        <w:instrText xml:space="preserve"> REF _Ref217017486 \h  \* MERGEFORMAT </w:instrText>
      </w:r>
      <w:r w:rsidRPr="007D4E63">
        <w:rPr>
          <w:rFonts w:ascii="Segoe UI" w:hAnsi="Segoe UI" w:cs="Segoe UI"/>
          <w:b/>
          <w:bCs/>
          <w:noProof/>
          <w:sz w:val="17"/>
          <w:szCs w:val="17"/>
        </w:rPr>
      </w:r>
      <w:r w:rsidRPr="007D4E63">
        <w:rPr>
          <w:rFonts w:ascii="Segoe UI" w:hAnsi="Segoe UI" w:cs="Segoe UI"/>
          <w:b/>
          <w:bCs/>
          <w:noProof/>
          <w:sz w:val="17"/>
          <w:szCs w:val="17"/>
        </w:rPr>
        <w:fldChar w:fldCharType="separate"/>
      </w:r>
      <w:r w:rsidRPr="007D4E63">
        <w:rPr>
          <w:rFonts w:ascii="Segoe UI" w:hAnsi="Segoe UI" w:cs="Segoe UI"/>
          <w:b/>
          <w:bCs/>
          <w:sz w:val="17"/>
          <w:szCs w:val="17"/>
        </w:rPr>
        <w:t xml:space="preserve">Figure </w:t>
      </w:r>
      <w:r w:rsidRPr="007D4E63">
        <w:rPr>
          <w:rFonts w:ascii="Segoe UI" w:hAnsi="Segoe UI" w:cs="Segoe UI"/>
          <w:b/>
          <w:bCs/>
          <w:noProof/>
          <w:sz w:val="17"/>
          <w:szCs w:val="17"/>
        </w:rPr>
        <w:t>41</w:t>
      </w:r>
      <w:r w:rsidRPr="007D4E63">
        <w:rPr>
          <w:rFonts w:ascii="Segoe UI" w:hAnsi="Segoe UI" w:cs="Segoe UI"/>
          <w:b/>
          <w:bCs/>
          <w:noProof/>
          <w:sz w:val="17"/>
          <w:szCs w:val="17"/>
        </w:rPr>
        <w:fldChar w:fldCharType="end"/>
      </w:r>
      <w:r w:rsidRPr="007D4E63">
        <w:rPr>
          <w:rFonts w:ascii="Segoe UI" w:hAnsi="Segoe UI" w:cs="Segoe UI"/>
          <w:b/>
          <w:bCs/>
          <w:noProof/>
          <w:sz w:val="17"/>
          <w:szCs w:val="17"/>
        </w:rPr>
        <w:t>)</w:t>
      </w:r>
    </w:p>
    <w:p w14:paraId="7F837C69" w14:textId="77777777" w:rsidR="00477C4E" w:rsidRPr="00BA0473" w:rsidRDefault="00477C4E" w:rsidP="00477C4E">
      <w:pPr>
        <w:spacing w:after="0" w:line="240" w:lineRule="auto"/>
        <w:jc w:val="both"/>
        <w:rPr>
          <w:rFonts w:ascii="Segoe UI" w:hAnsi="Segoe UI" w:cs="Segoe UI"/>
          <w:sz w:val="18"/>
          <w:szCs w:val="18"/>
          <w:shd w:val="clear" w:color="auto" w:fill="FFFFFF"/>
        </w:rPr>
      </w:pPr>
      <w:r w:rsidRPr="00BA0473">
        <w:rPr>
          <w:rFonts w:ascii="Segoe UI" w:hAnsi="Segoe UI" w:cs="Segoe UI"/>
          <w:b/>
          <w:sz w:val="18"/>
          <w:szCs w:val="18"/>
        </w:rPr>
        <w:t>Environmental</w:t>
      </w:r>
    </w:p>
    <w:p w14:paraId="7248C93E" w14:textId="77777777" w:rsidR="00477C4E" w:rsidRPr="00CC4BC9" w:rsidRDefault="00477C4E" w:rsidP="00477C4E">
      <w:pPr>
        <w:spacing w:after="0" w:line="240" w:lineRule="auto"/>
        <w:jc w:val="both"/>
        <w:rPr>
          <w:rFonts w:ascii="Segoe UI" w:hAnsi="Segoe UI" w:cs="Segoe UI"/>
          <w:b/>
          <w:bCs/>
          <w:sz w:val="17"/>
          <w:szCs w:val="17"/>
          <w:shd w:val="clear" w:color="auto" w:fill="FFFFFF"/>
        </w:rPr>
      </w:pPr>
      <w:r w:rsidRPr="00CC4BC9">
        <w:rPr>
          <w:rFonts w:ascii="Segoe UI" w:hAnsi="Segoe UI" w:cs="Segoe UI"/>
          <w:noProof/>
          <w:color w:val="000000" w:themeColor="text1"/>
          <w:sz w:val="17"/>
          <w:szCs w:val="17"/>
        </w:rPr>
        <mc:AlternateContent>
          <mc:Choice Requires="wps">
            <w:drawing>
              <wp:anchor distT="0" distB="0" distL="114300" distR="114300" simplePos="0" relativeHeight="251659264" behindDoc="0" locked="0" layoutInCell="1" allowOverlap="1" wp14:anchorId="3046D982" wp14:editId="2913122A">
                <wp:simplePos x="0" y="0"/>
                <wp:positionH relativeFrom="margin">
                  <wp:align>left</wp:align>
                </wp:positionH>
                <wp:positionV relativeFrom="paragraph">
                  <wp:posOffset>7178</wp:posOffset>
                </wp:positionV>
                <wp:extent cx="4808220" cy="0"/>
                <wp:effectExtent l="0" t="0" r="0" b="0"/>
                <wp:wrapNone/>
                <wp:docPr id="196762666"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209811" id="Straight Connector 122"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5pt" to="378.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" strokecolor="#ffc000" strokeweight="1.5pt">
                <v:stroke joinstyle="miter"/>
                <w10:wrap anchorx="margin"/>
              </v:line>
            </w:pict>
          </mc:Fallback>
        </mc:AlternateContent>
      </w:r>
      <w:r w:rsidRPr="00CC4BC9">
        <w:rPr>
          <w:rFonts w:ascii="Segoe UI" w:hAnsi="Segoe UI" w:cs="Segoe UI"/>
          <w:b/>
          <w:bCs/>
          <w:sz w:val="17"/>
          <w:szCs w:val="17"/>
          <w:shd w:val="clear" w:color="auto" w:fill="FFFFFF"/>
        </w:rPr>
        <w:t>EV Integration as the Core Pillar of PKME’s Long-Term Transition Strategy</w:t>
      </w:r>
    </w:p>
    <w:p w14:paraId="6D5D4E86" w14:textId="77777777" w:rsidR="00477C4E" w:rsidRPr="001F15EA" w:rsidRDefault="00477C4E" w:rsidP="00477C4E">
      <w:pPr>
        <w:spacing w:after="0" w:line="240" w:lineRule="auto"/>
        <w:jc w:val="both"/>
        <w:rPr>
          <w:rFonts w:ascii="Segoe UI" w:hAnsi="Segoe UI" w:cs="Segoe UI"/>
          <w:sz w:val="17"/>
          <w:szCs w:val="17"/>
        </w:rPr>
      </w:pPr>
      <w:r w:rsidRPr="001F15EA">
        <w:rPr>
          <w:rFonts w:ascii="Segoe UI" w:hAnsi="Segoe UI" w:cs="Segoe UI"/>
          <w:sz w:val="17"/>
          <w:szCs w:val="17"/>
        </w:rPr>
        <w:t xml:space="preserve">PKME's long-term environmental transition is anchored in its move toward </w:t>
      </w:r>
      <w:r>
        <w:rPr>
          <w:rFonts w:ascii="Segoe UI" w:hAnsi="Segoe UI" w:cs="Segoe UI"/>
          <w:sz w:val="17"/>
          <w:szCs w:val="17"/>
        </w:rPr>
        <w:t>E</w:t>
      </w:r>
      <w:r w:rsidRPr="001F15EA">
        <w:rPr>
          <w:rFonts w:ascii="Segoe UI" w:hAnsi="Segoe UI" w:cs="Segoe UI"/>
          <w:sz w:val="17"/>
          <w:szCs w:val="17"/>
        </w:rPr>
        <w:t xml:space="preserve">lectric </w:t>
      </w:r>
      <w:r>
        <w:rPr>
          <w:rFonts w:ascii="Segoe UI" w:hAnsi="Segoe UI" w:cs="Segoe UI"/>
          <w:sz w:val="17"/>
          <w:szCs w:val="17"/>
        </w:rPr>
        <w:t>V</w:t>
      </w:r>
      <w:r w:rsidRPr="001F15EA">
        <w:rPr>
          <w:rFonts w:ascii="Segoe UI" w:hAnsi="Segoe UI" w:cs="Segoe UI"/>
          <w:sz w:val="17"/>
          <w:szCs w:val="17"/>
        </w:rPr>
        <w:t xml:space="preserve">ehicle (EV) integration. The Company has initiated pilot-level EV deployment, including trials with EV three-wheelers and collaborations with external EV manufacturers </w:t>
      </w:r>
      <w:r>
        <w:rPr>
          <w:rFonts w:ascii="Segoe UI" w:hAnsi="Segoe UI" w:cs="Segoe UI"/>
          <w:sz w:val="17"/>
          <w:szCs w:val="17"/>
        </w:rPr>
        <w:t>such as</w:t>
      </w:r>
      <w:r w:rsidRPr="001F15EA">
        <w:rPr>
          <w:rFonts w:ascii="Segoe UI" w:hAnsi="Segoe UI" w:cs="Segoe UI"/>
          <w:sz w:val="17"/>
          <w:szCs w:val="17"/>
        </w:rPr>
        <w:t xml:space="preserve"> Rhoda, </w:t>
      </w:r>
      <w:proofErr w:type="spellStart"/>
      <w:r w:rsidRPr="001F15EA">
        <w:rPr>
          <w:rFonts w:ascii="Segoe UI" w:hAnsi="Segoe UI" w:cs="Segoe UI"/>
          <w:sz w:val="17"/>
          <w:szCs w:val="17"/>
        </w:rPr>
        <w:t>Lumala</w:t>
      </w:r>
      <w:proofErr w:type="spellEnd"/>
      <w:r w:rsidRPr="001F15EA">
        <w:rPr>
          <w:rFonts w:ascii="Segoe UI" w:hAnsi="Segoe UI" w:cs="Segoe UI"/>
          <w:sz w:val="17"/>
          <w:szCs w:val="17"/>
        </w:rPr>
        <w:t xml:space="preserve"> and Vega Innovations. It is estimated that electric </w:t>
      </w:r>
      <w:proofErr w:type="spellStart"/>
      <w:r w:rsidRPr="001F15EA">
        <w:rPr>
          <w:rFonts w:ascii="Segoe UI" w:hAnsi="Segoe UI" w:cs="Segoe UI"/>
          <w:sz w:val="17"/>
          <w:szCs w:val="17"/>
        </w:rPr>
        <w:t>tuks</w:t>
      </w:r>
      <w:proofErr w:type="spellEnd"/>
      <w:r w:rsidRPr="001F15EA">
        <w:rPr>
          <w:rFonts w:ascii="Segoe UI" w:hAnsi="Segoe UI" w:cs="Segoe UI"/>
          <w:sz w:val="17"/>
          <w:szCs w:val="17"/>
        </w:rPr>
        <w:t xml:space="preserve"> generate driver savings of approximately LKR 26,000 per month. Although adoption is still limited, these pilots establish the operational groundwork for supporting a larger EV driver base as national charging and grid infrastructure develops. Supporting this transition, PKME continues to strengthen its technological backbone through the Smart Mobility Laboratory with the University of Moratuwa, which advances data-driven transport modelling, AI-based routing, and low-impact mobility system design. </w:t>
      </w:r>
    </w:p>
    <w:p w14:paraId="2F9A6663" w14:textId="77777777" w:rsidR="00477C4E" w:rsidRPr="00CC4BC9" w:rsidRDefault="00477C4E" w:rsidP="00477C4E">
      <w:pPr>
        <w:spacing w:after="0" w:line="240" w:lineRule="auto"/>
        <w:jc w:val="both"/>
        <w:rPr>
          <w:rFonts w:ascii="Segoe UI" w:hAnsi="Segoe UI" w:cs="Segoe UI"/>
          <w:sz w:val="17"/>
          <w:szCs w:val="17"/>
          <w:shd w:val="clear" w:color="auto" w:fill="FFFFFF"/>
        </w:rPr>
      </w:pPr>
      <w:r w:rsidRPr="00CC4BC9">
        <w:rPr>
          <w:rFonts w:ascii="Segoe UI" w:hAnsi="Segoe UI" w:cs="Segoe UI"/>
          <w:b/>
          <w:sz w:val="17"/>
          <w:szCs w:val="17"/>
          <w:shd w:val="clear" w:color="auto" w:fill="FFFFFF"/>
        </w:rPr>
        <w:t xml:space="preserve">Platform Efficiency as the Primary Environmental Lever </w:t>
      </w:r>
    </w:p>
    <w:p w14:paraId="5156B99B" w14:textId="2DE125B2" w:rsidR="00477C4E" w:rsidRPr="001F15EA" w:rsidRDefault="00477C4E" w:rsidP="00477C4E">
      <w:pPr>
        <w:spacing w:after="0" w:line="240" w:lineRule="auto"/>
        <w:jc w:val="both"/>
        <w:rPr>
          <w:rFonts w:ascii="Segoe UI" w:hAnsi="Segoe UI" w:cs="Segoe UI"/>
          <w:sz w:val="17"/>
          <w:szCs w:val="17"/>
        </w:rPr>
      </w:pPr>
      <w:r w:rsidRPr="001F15EA">
        <w:rPr>
          <w:rFonts w:ascii="Segoe UI" w:hAnsi="Segoe UI" w:cs="Segoe UI"/>
          <w:sz w:val="17"/>
          <w:szCs w:val="17"/>
        </w:rPr>
        <w:t>PKME’s environmental impact is driven by improving the efficiency of Sri Lanka’s transportation system. Its Mission Control system leverages real-time data and AI-driven demand forecasting to anticipate user needs and optimize service availability across regions. By employing AI-based routing, algorithmic pooling, and a multi-service model (Ride, Food, Market, Flash, Trucking), the platform supports higher vehicle utilization and reduces redundant vehicle movements. This operational precision minimizes deadheading, pickup distances, and driver idle time</w:t>
      </w:r>
      <w:r>
        <w:rPr>
          <w:rFonts w:ascii="Segoe UI" w:hAnsi="Segoe UI" w:cs="Segoe UI"/>
          <w:sz w:val="17"/>
          <w:szCs w:val="17"/>
        </w:rPr>
        <w:t xml:space="preserve"> </w:t>
      </w:r>
      <w:r w:rsidRPr="001F15EA">
        <w:rPr>
          <w:rFonts w:ascii="Segoe UI" w:hAnsi="Segoe UI" w:cs="Segoe UI"/>
          <w:sz w:val="17"/>
          <w:szCs w:val="17"/>
        </w:rPr>
        <w:t>contributing to an 11</w:t>
      </w:r>
      <w:r>
        <w:rPr>
          <w:rFonts w:ascii="Segoe UI" w:hAnsi="Segoe UI" w:cs="Segoe UI"/>
          <w:sz w:val="17"/>
          <w:szCs w:val="17"/>
        </w:rPr>
        <w:t>.0</w:t>
      </w:r>
      <w:r w:rsidRPr="001F15EA">
        <w:rPr>
          <w:rFonts w:ascii="Segoe UI" w:hAnsi="Segoe UI" w:cs="Segoe UI"/>
          <w:sz w:val="17"/>
          <w:szCs w:val="17"/>
        </w:rPr>
        <w:t>% reduction in average consumer wait times</w:t>
      </w:r>
      <w:r>
        <w:rPr>
          <w:rFonts w:ascii="Segoe UI" w:hAnsi="Segoe UI" w:cs="Segoe UI"/>
          <w:sz w:val="17"/>
          <w:szCs w:val="17"/>
        </w:rPr>
        <w:t xml:space="preserve">, </w:t>
      </w:r>
      <w:r w:rsidRPr="001F15EA">
        <w:rPr>
          <w:rFonts w:ascii="Segoe UI" w:hAnsi="Segoe UI" w:cs="Segoe UI"/>
          <w:sz w:val="17"/>
          <w:szCs w:val="17"/>
        </w:rPr>
        <w:t>while effectively helping to ease urban congestion and lower fuel consumption.</w:t>
      </w:r>
      <w:r w:rsidRPr="00137D6B">
        <w:rPr>
          <w:rFonts w:ascii="Arial" w:hAnsi="Arial" w:cs="Arial"/>
          <w:noProof/>
          <w:sz w:val="17"/>
          <w:szCs w:val="17"/>
        </w:rPr>
        <w:t xml:space="preserve"> </w:t>
      </w:r>
    </w:p>
    <w:p w14:paraId="071B60C1" w14:textId="77777777" w:rsidR="00477C4E" w:rsidRPr="00001ED5" w:rsidRDefault="00477C4E" w:rsidP="00477C4E">
      <w:pPr>
        <w:spacing w:after="0" w:line="240" w:lineRule="auto"/>
        <w:jc w:val="both"/>
        <w:rPr>
          <w:rFonts w:ascii="Segoe UI" w:hAnsi="Segoe UI" w:cs="Segoe UI"/>
          <w:b/>
          <w:bCs/>
          <w:sz w:val="16"/>
          <w:szCs w:val="16"/>
          <w:shd w:val="clear" w:color="auto" w:fill="FFFFFF"/>
        </w:rPr>
      </w:pPr>
      <w:r w:rsidRPr="00CC4BC9">
        <w:rPr>
          <w:rFonts w:ascii="Segoe UI" w:hAnsi="Segoe UI" w:cs="Segoe UI"/>
          <w:b/>
          <w:sz w:val="17"/>
          <w:szCs w:val="17"/>
          <w:shd w:val="clear" w:color="auto" w:fill="FFFFFF"/>
        </w:rPr>
        <w:t>Sustainable Platform Operations</w:t>
      </w:r>
    </w:p>
    <w:p w14:paraId="405B7FBD" w14:textId="77777777" w:rsidR="00477C4E" w:rsidRPr="001F15EA" w:rsidRDefault="00477C4E" w:rsidP="00477C4E">
      <w:pPr>
        <w:spacing w:after="0" w:line="240" w:lineRule="auto"/>
        <w:jc w:val="both"/>
        <w:rPr>
          <w:rFonts w:ascii="Segoe UI" w:hAnsi="Segoe UI" w:cs="Segoe UI"/>
          <w:sz w:val="17"/>
          <w:szCs w:val="17"/>
        </w:rPr>
      </w:pPr>
      <w:r w:rsidRPr="001F15EA">
        <w:rPr>
          <w:rFonts w:ascii="Segoe UI" w:hAnsi="Segoe UI" w:cs="Segoe UI"/>
          <w:sz w:val="17"/>
          <w:szCs w:val="17"/>
        </w:rPr>
        <w:t xml:space="preserve">PKME formalizes its commitment towards the environment through the Corporate Environmental Policy and adheres to the IFC Performance Standard 3, positioning the model as a resource-efficient transport solution. Operates in an asset light operating structure which reduces the vehicle fleet in the ecosystem and supports shared mobility. To ensure transparency and accountability, the company is aligning </w:t>
      </w:r>
      <w:r>
        <w:rPr>
          <w:rFonts w:ascii="Segoe UI" w:hAnsi="Segoe UI" w:cs="Segoe UI"/>
          <w:sz w:val="17"/>
          <w:szCs w:val="17"/>
        </w:rPr>
        <w:t xml:space="preserve">with </w:t>
      </w:r>
      <w:r w:rsidRPr="001F15EA">
        <w:rPr>
          <w:rFonts w:ascii="Segoe UI" w:hAnsi="Segoe UI" w:cs="Segoe UI"/>
          <w:sz w:val="17"/>
          <w:szCs w:val="17"/>
        </w:rPr>
        <w:t>global sustainability frameworks, including the UN Sustainable Development Goals (SDGs)</w:t>
      </w:r>
      <w:r>
        <w:rPr>
          <w:rFonts w:ascii="Segoe UI" w:hAnsi="Segoe UI" w:cs="Segoe UI"/>
          <w:sz w:val="17"/>
          <w:szCs w:val="17"/>
        </w:rPr>
        <w:t xml:space="preserve"> </w:t>
      </w:r>
      <w:r w:rsidRPr="00AC5350">
        <w:rPr>
          <w:rFonts w:ascii="Segoe UI" w:hAnsi="Segoe UI" w:cs="Segoe UI"/>
          <w:b/>
          <w:bCs/>
          <w:sz w:val="17"/>
          <w:szCs w:val="17"/>
        </w:rPr>
        <w:t>(</w:t>
      </w:r>
      <w:r w:rsidRPr="00AC5350">
        <w:rPr>
          <w:rFonts w:ascii="Segoe UI" w:hAnsi="Segoe UI" w:cs="Segoe UI"/>
          <w:b/>
          <w:bCs/>
          <w:sz w:val="17"/>
          <w:szCs w:val="17"/>
        </w:rPr>
        <w:fldChar w:fldCharType="begin"/>
      </w:r>
      <w:r w:rsidRPr="00AC5350">
        <w:rPr>
          <w:rFonts w:ascii="Segoe UI" w:hAnsi="Segoe UI" w:cs="Segoe UI"/>
          <w:b/>
          <w:bCs/>
          <w:sz w:val="17"/>
          <w:szCs w:val="17"/>
        </w:rPr>
        <w:instrText xml:space="preserve"> REF _Ref217017547 \h  \* MERGEFORMAT </w:instrText>
      </w:r>
      <w:r w:rsidRPr="00AC5350">
        <w:rPr>
          <w:rFonts w:ascii="Segoe UI" w:hAnsi="Segoe UI" w:cs="Segoe UI"/>
          <w:b/>
          <w:bCs/>
          <w:sz w:val="17"/>
          <w:szCs w:val="17"/>
        </w:rPr>
      </w:r>
      <w:r w:rsidRPr="00AC5350">
        <w:rPr>
          <w:rFonts w:ascii="Segoe UI" w:hAnsi="Segoe UI" w:cs="Segoe UI"/>
          <w:b/>
          <w:bCs/>
          <w:sz w:val="17"/>
          <w:szCs w:val="17"/>
        </w:rPr>
        <w:fldChar w:fldCharType="separate"/>
      </w:r>
      <w:r w:rsidRPr="00AC5350">
        <w:rPr>
          <w:rFonts w:ascii="Segoe UI" w:hAnsi="Segoe UI" w:cs="Segoe UI"/>
          <w:b/>
          <w:bCs/>
          <w:sz w:val="17"/>
          <w:szCs w:val="17"/>
        </w:rPr>
        <w:t xml:space="preserve">Figure </w:t>
      </w:r>
      <w:r w:rsidRPr="00AC5350">
        <w:rPr>
          <w:rFonts w:ascii="Segoe UI" w:hAnsi="Segoe UI" w:cs="Segoe UI"/>
          <w:b/>
          <w:bCs/>
          <w:noProof/>
          <w:sz w:val="17"/>
          <w:szCs w:val="17"/>
        </w:rPr>
        <w:t>38</w:t>
      </w:r>
      <w:r w:rsidRPr="00AC5350">
        <w:rPr>
          <w:rFonts w:ascii="Segoe UI" w:hAnsi="Segoe UI" w:cs="Segoe UI"/>
          <w:b/>
          <w:bCs/>
          <w:sz w:val="17"/>
          <w:szCs w:val="17"/>
        </w:rPr>
        <w:fldChar w:fldCharType="end"/>
      </w:r>
      <w:r w:rsidRPr="00AC5350">
        <w:rPr>
          <w:rFonts w:ascii="Segoe UI" w:hAnsi="Segoe UI" w:cs="Segoe UI"/>
          <w:b/>
          <w:bCs/>
          <w:sz w:val="17"/>
          <w:szCs w:val="17"/>
        </w:rPr>
        <w:t>),</w:t>
      </w:r>
      <w:r w:rsidRPr="001F15EA">
        <w:rPr>
          <w:rFonts w:ascii="Segoe UI" w:hAnsi="Segoe UI" w:cs="Segoe UI"/>
          <w:sz w:val="17"/>
          <w:szCs w:val="17"/>
        </w:rPr>
        <w:t xml:space="preserve"> GRI, and SASB standards. PKME is also establishing mechanisms to track Greenhouse Gas emissions (GHG) and technology-enabled environmental actions to comply with emerging sustainability disclosure requirements and CSE rules. Operational measures under this include specific initiatives to reduce emissions per ride through trip clustering and optimization, alongside broader "green operations" that focus on dematerializing administrative processes. Furthermore, PKME utilizes Google Cloud, ensuring its digital infrastructure operates with zero emissions and is powered by 100</w:t>
      </w:r>
      <w:r>
        <w:rPr>
          <w:rFonts w:ascii="Segoe UI" w:hAnsi="Segoe UI" w:cs="Segoe UI"/>
          <w:sz w:val="17"/>
          <w:szCs w:val="17"/>
        </w:rPr>
        <w:t>.0</w:t>
      </w:r>
      <w:r w:rsidRPr="001F15EA">
        <w:rPr>
          <w:rFonts w:ascii="Segoe UI" w:hAnsi="Segoe UI" w:cs="Segoe UI"/>
          <w:sz w:val="17"/>
          <w:szCs w:val="17"/>
        </w:rPr>
        <w:t>% renewable energy.</w:t>
      </w:r>
      <w:r w:rsidRPr="00137D6B">
        <w:rPr>
          <w:rFonts w:ascii="Segoe UI" w:hAnsi="Segoe UI" w:cs="Segoe UI"/>
          <w:b/>
          <w:bCs/>
          <w:noProof/>
          <w:sz w:val="17"/>
          <w:szCs w:val="17"/>
        </w:rPr>
        <w:t xml:space="preserve"> </w:t>
      </w:r>
    </w:p>
    <w:p w14:paraId="11405546" w14:textId="77525DB0" w:rsidR="00477C4E" w:rsidRPr="00BA0473" w:rsidRDefault="00477C4E" w:rsidP="00477C4E">
      <w:pPr>
        <w:spacing w:after="0" w:line="240" w:lineRule="auto"/>
        <w:jc w:val="both"/>
        <w:rPr>
          <w:rFonts w:ascii="Segoe UI" w:hAnsi="Segoe UI" w:cs="Segoe UI"/>
          <w:sz w:val="18"/>
          <w:szCs w:val="18"/>
          <w:shd w:val="clear" w:color="auto" w:fill="FFFFFF"/>
        </w:rPr>
      </w:pPr>
      <w:r w:rsidRPr="00BA0473">
        <w:rPr>
          <w:rFonts w:ascii="Segoe UI" w:hAnsi="Segoe UI" w:cs="Segoe UI"/>
          <w:b/>
          <w:sz w:val="18"/>
          <w:szCs w:val="18"/>
        </w:rPr>
        <w:t>Social</w:t>
      </w:r>
    </w:p>
    <w:p w14:paraId="6C140936" w14:textId="77777777" w:rsidR="00477C4E" w:rsidRPr="00CC4BC9" w:rsidRDefault="00477C4E" w:rsidP="00477C4E">
      <w:pPr>
        <w:spacing w:after="0" w:line="240" w:lineRule="auto"/>
        <w:jc w:val="both"/>
        <w:rPr>
          <w:rFonts w:ascii="Segoe UI" w:hAnsi="Segoe UI" w:cs="Segoe UI"/>
          <w:b/>
          <w:sz w:val="17"/>
          <w:szCs w:val="17"/>
          <w:shd w:val="clear" w:color="auto" w:fill="FFFFFF"/>
        </w:rPr>
      </w:pPr>
      <w:r w:rsidRPr="00CC4BC9">
        <w:rPr>
          <w:rFonts w:ascii="Segoe UI" w:hAnsi="Segoe UI" w:cs="Segoe UI"/>
          <w:b/>
          <w:noProof/>
          <w:sz w:val="17"/>
          <w:szCs w:val="17"/>
          <w:shd w:val="clear" w:color="auto" w:fill="FFFFFF"/>
        </w:rPr>
        <mc:AlternateContent>
          <mc:Choice Requires="wps">
            <w:drawing>
              <wp:anchor distT="0" distB="0" distL="114300" distR="114300" simplePos="0" relativeHeight="251661312" behindDoc="0" locked="0" layoutInCell="1" allowOverlap="1" wp14:anchorId="281F0397" wp14:editId="48D982B5">
                <wp:simplePos x="0" y="0"/>
                <wp:positionH relativeFrom="margin">
                  <wp:align>left</wp:align>
                </wp:positionH>
                <wp:positionV relativeFrom="paragraph">
                  <wp:posOffset>9958</wp:posOffset>
                </wp:positionV>
                <wp:extent cx="4808220" cy="0"/>
                <wp:effectExtent l="0" t="0" r="0" b="0"/>
                <wp:wrapNone/>
                <wp:docPr id="474461176"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32C4D5" id="Straight Connector 122"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pt" to="378.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" strokecolor="#ffc000" strokeweight="1.5pt">
                <v:stroke joinstyle="miter"/>
                <w10:wrap anchorx="margin"/>
              </v:line>
            </w:pict>
          </mc:Fallback>
        </mc:AlternateContent>
      </w:r>
      <w:r w:rsidRPr="00CC4BC9">
        <w:rPr>
          <w:rFonts w:ascii="Segoe UI" w:hAnsi="Segoe UI" w:cs="Segoe UI"/>
          <w:b/>
          <w:sz w:val="17"/>
          <w:szCs w:val="17"/>
          <w:shd w:val="clear" w:color="auto" w:fill="FFFFFF"/>
        </w:rPr>
        <w:t>CSR and Community Welfare</w:t>
      </w:r>
    </w:p>
    <w:p w14:paraId="57B251F4" w14:textId="0946AC73" w:rsidR="00477C4E" w:rsidRPr="001F15EA" w:rsidRDefault="00477C4E" w:rsidP="00477C4E">
      <w:pPr>
        <w:spacing w:after="0" w:line="240" w:lineRule="auto"/>
        <w:jc w:val="both"/>
        <w:rPr>
          <w:rFonts w:ascii="Segoe UI" w:hAnsi="Segoe UI" w:cs="Segoe UI"/>
          <w:sz w:val="17"/>
          <w:szCs w:val="17"/>
        </w:rPr>
      </w:pPr>
      <w:r w:rsidRPr="001F15EA">
        <w:rPr>
          <w:rFonts w:ascii="Segoe UI" w:hAnsi="Segoe UI" w:cs="Segoe UI"/>
          <w:sz w:val="17"/>
          <w:szCs w:val="17"/>
        </w:rPr>
        <w:t xml:space="preserve">PKME’s welfare and CSR activities comply with IFC Performance Standard 2, with activities focused on education, safety, financial access, and community support. The “Nena </w:t>
      </w:r>
      <w:proofErr w:type="spellStart"/>
      <w:r w:rsidRPr="001F15EA">
        <w:rPr>
          <w:rFonts w:ascii="Segoe UI" w:hAnsi="Segoe UI" w:cs="Segoe UI"/>
          <w:sz w:val="17"/>
          <w:szCs w:val="17"/>
        </w:rPr>
        <w:t>Pahana</w:t>
      </w:r>
      <w:proofErr w:type="spellEnd"/>
      <w:r w:rsidRPr="001F15EA">
        <w:rPr>
          <w:rFonts w:ascii="Segoe UI" w:hAnsi="Segoe UI" w:cs="Segoe UI"/>
          <w:sz w:val="17"/>
          <w:szCs w:val="17"/>
        </w:rPr>
        <w:t xml:space="preserve">” initiative implemented since 2018 </w:t>
      </w:r>
      <w:r>
        <w:rPr>
          <w:rFonts w:ascii="Segoe UI" w:hAnsi="Segoe UI" w:cs="Segoe UI"/>
          <w:sz w:val="17"/>
          <w:szCs w:val="17"/>
        </w:rPr>
        <w:t xml:space="preserve">has </w:t>
      </w:r>
      <w:r w:rsidRPr="001F15EA">
        <w:rPr>
          <w:rFonts w:ascii="Segoe UI" w:hAnsi="Segoe UI" w:cs="Segoe UI"/>
          <w:sz w:val="17"/>
          <w:szCs w:val="17"/>
        </w:rPr>
        <w:t>provided educational assistance to 4800</w:t>
      </w:r>
      <w:r>
        <w:rPr>
          <w:rFonts w:ascii="Segoe UI" w:hAnsi="Segoe UI" w:cs="Segoe UI"/>
          <w:sz w:val="17"/>
          <w:szCs w:val="17"/>
        </w:rPr>
        <w:t>+</w:t>
      </w:r>
      <w:r w:rsidRPr="001F15EA">
        <w:rPr>
          <w:rFonts w:ascii="Segoe UI" w:hAnsi="Segoe UI" w:cs="Segoe UI"/>
          <w:sz w:val="17"/>
          <w:szCs w:val="17"/>
        </w:rPr>
        <w:t xml:space="preserve"> students, by funding more than LKR 20Mn for drivers’ children.  </w:t>
      </w:r>
      <w:r>
        <w:rPr>
          <w:rFonts w:ascii="Segoe UI" w:hAnsi="Segoe UI" w:cs="Segoe UI"/>
          <w:sz w:val="17"/>
          <w:szCs w:val="17"/>
        </w:rPr>
        <w:t>“</w:t>
      </w:r>
      <w:proofErr w:type="spellStart"/>
      <w:r w:rsidRPr="00FD202D">
        <w:rPr>
          <w:rFonts w:ascii="Segoe UI" w:hAnsi="Segoe UI" w:cs="Segoe UI"/>
          <w:sz w:val="17"/>
          <w:szCs w:val="17"/>
        </w:rPr>
        <w:t>PickMe</w:t>
      </w:r>
      <w:proofErr w:type="spellEnd"/>
      <w:r w:rsidRPr="00FD202D">
        <w:rPr>
          <w:rFonts w:ascii="Segoe UI" w:hAnsi="Segoe UI" w:cs="Segoe UI"/>
          <w:sz w:val="17"/>
          <w:szCs w:val="17"/>
        </w:rPr>
        <w:t xml:space="preserve"> </w:t>
      </w:r>
      <w:proofErr w:type="spellStart"/>
      <w:r w:rsidRPr="00FD202D">
        <w:rPr>
          <w:rFonts w:ascii="Segoe UI" w:hAnsi="Segoe UI" w:cs="Segoe UI"/>
          <w:sz w:val="17"/>
          <w:szCs w:val="17"/>
        </w:rPr>
        <w:t>Pramuka</w:t>
      </w:r>
      <w:proofErr w:type="spellEnd"/>
      <w:r>
        <w:rPr>
          <w:rFonts w:ascii="Segoe UI" w:hAnsi="Segoe UI" w:cs="Segoe UI"/>
          <w:sz w:val="17"/>
          <w:szCs w:val="17"/>
        </w:rPr>
        <w:t>”</w:t>
      </w:r>
      <w:r w:rsidRPr="00FD202D">
        <w:rPr>
          <w:rFonts w:ascii="Segoe UI" w:hAnsi="Segoe UI" w:cs="Segoe UI"/>
          <w:sz w:val="17"/>
          <w:szCs w:val="17"/>
        </w:rPr>
        <w:t xml:space="preserve"> provides performance-based insurance coverage to </w:t>
      </w:r>
      <w:r>
        <w:rPr>
          <w:rFonts w:ascii="Segoe UI" w:hAnsi="Segoe UI" w:cs="Segoe UI"/>
          <w:sz w:val="17"/>
          <w:szCs w:val="17"/>
        </w:rPr>
        <w:t>g</w:t>
      </w:r>
      <w:r w:rsidRPr="00FD202D">
        <w:rPr>
          <w:rFonts w:ascii="Segoe UI" w:hAnsi="Segoe UI" w:cs="Segoe UI"/>
          <w:sz w:val="17"/>
          <w:szCs w:val="17"/>
        </w:rPr>
        <w:t xml:space="preserve">old and </w:t>
      </w:r>
      <w:r>
        <w:rPr>
          <w:rFonts w:ascii="Segoe UI" w:hAnsi="Segoe UI" w:cs="Segoe UI"/>
          <w:sz w:val="17"/>
          <w:szCs w:val="17"/>
        </w:rPr>
        <w:t>p</w:t>
      </w:r>
      <w:r w:rsidRPr="00FD202D">
        <w:rPr>
          <w:rFonts w:ascii="Segoe UI" w:hAnsi="Segoe UI" w:cs="Segoe UI"/>
          <w:sz w:val="17"/>
          <w:szCs w:val="17"/>
        </w:rPr>
        <w:t>latinum drivers through independent third-party insurers, with coverage of up to LKR 3</w:t>
      </w:r>
      <w:r>
        <w:rPr>
          <w:rFonts w:ascii="Segoe UI" w:hAnsi="Segoe UI" w:cs="Segoe UI"/>
          <w:sz w:val="17"/>
          <w:szCs w:val="17"/>
        </w:rPr>
        <w:t>Mn</w:t>
      </w:r>
      <w:r w:rsidRPr="00FD202D">
        <w:rPr>
          <w:rFonts w:ascii="Segoe UI" w:hAnsi="Segoe UI" w:cs="Segoe UI"/>
          <w:sz w:val="17"/>
          <w:szCs w:val="17"/>
        </w:rPr>
        <w:t xml:space="preserve"> per driver. Cumulative claims exceeded LKR 40</w:t>
      </w:r>
      <w:r>
        <w:rPr>
          <w:rFonts w:ascii="Segoe UI" w:hAnsi="Segoe UI" w:cs="Segoe UI"/>
          <w:sz w:val="17"/>
          <w:szCs w:val="17"/>
        </w:rPr>
        <w:t>Mn</w:t>
      </w:r>
      <w:r w:rsidRPr="00FD202D">
        <w:rPr>
          <w:rFonts w:ascii="Segoe UI" w:hAnsi="Segoe UI" w:cs="Segoe UI"/>
          <w:sz w:val="17"/>
          <w:szCs w:val="17"/>
        </w:rPr>
        <w:t xml:space="preserve"> in 2019 and LKR 10</w:t>
      </w:r>
      <w:r>
        <w:rPr>
          <w:rFonts w:ascii="Segoe UI" w:hAnsi="Segoe UI" w:cs="Segoe UI"/>
          <w:sz w:val="17"/>
          <w:szCs w:val="17"/>
        </w:rPr>
        <w:t>Mn</w:t>
      </w:r>
      <w:r w:rsidRPr="00FD202D">
        <w:rPr>
          <w:rFonts w:ascii="Segoe UI" w:hAnsi="Segoe UI" w:cs="Segoe UI"/>
          <w:sz w:val="17"/>
          <w:szCs w:val="17"/>
        </w:rPr>
        <w:t xml:space="preserve"> in FY2024</w:t>
      </w:r>
      <w:r>
        <w:rPr>
          <w:rFonts w:ascii="Segoe UI" w:hAnsi="Segoe UI" w:cs="Segoe UI"/>
          <w:sz w:val="17"/>
          <w:szCs w:val="17"/>
        </w:rPr>
        <w:t>-</w:t>
      </w:r>
      <w:r w:rsidRPr="00FD202D">
        <w:rPr>
          <w:rFonts w:ascii="Segoe UI" w:hAnsi="Segoe UI" w:cs="Segoe UI"/>
          <w:sz w:val="17"/>
          <w:szCs w:val="17"/>
        </w:rPr>
        <w:t>25.</w:t>
      </w:r>
      <w:r>
        <w:rPr>
          <w:rFonts w:ascii="Segoe UI" w:hAnsi="Segoe UI" w:cs="Segoe UI"/>
          <w:sz w:val="17"/>
          <w:szCs w:val="17"/>
        </w:rPr>
        <w:t xml:space="preserve"> </w:t>
      </w:r>
      <w:r w:rsidRPr="001F15EA">
        <w:rPr>
          <w:rFonts w:ascii="Segoe UI" w:hAnsi="Segoe UI" w:cs="Segoe UI"/>
          <w:sz w:val="17"/>
          <w:szCs w:val="17"/>
        </w:rPr>
        <w:t>PKME engages in community welfare during national emergencies through features such as SOS for location-based alerts and AID for coordinated relief deliveries</w:t>
      </w:r>
      <w:r>
        <w:rPr>
          <w:rFonts w:ascii="Segoe UI" w:hAnsi="Segoe UI" w:cs="Segoe UI"/>
          <w:sz w:val="17"/>
          <w:szCs w:val="17"/>
        </w:rPr>
        <w:t xml:space="preserve">, </w:t>
      </w:r>
      <w:r w:rsidRPr="001F15EA">
        <w:rPr>
          <w:rFonts w:ascii="Segoe UI" w:hAnsi="Segoe UI" w:cs="Segoe UI"/>
          <w:sz w:val="17"/>
          <w:szCs w:val="17"/>
        </w:rPr>
        <w:t>recently implemented during “</w:t>
      </w:r>
      <w:proofErr w:type="spellStart"/>
      <w:r w:rsidRPr="001F15EA">
        <w:rPr>
          <w:rFonts w:ascii="Segoe UI" w:hAnsi="Segoe UI" w:cs="Segoe UI"/>
          <w:sz w:val="17"/>
          <w:szCs w:val="17"/>
        </w:rPr>
        <w:t>Ditwah</w:t>
      </w:r>
      <w:proofErr w:type="spellEnd"/>
      <w:r w:rsidRPr="001F15EA">
        <w:rPr>
          <w:rFonts w:ascii="Segoe UI" w:hAnsi="Segoe UI" w:cs="Segoe UI"/>
          <w:sz w:val="17"/>
          <w:szCs w:val="17"/>
        </w:rPr>
        <w:t>” cyclone. </w:t>
      </w:r>
      <w:r w:rsidRPr="00137D6B">
        <w:rPr>
          <w:noProof/>
          <w:sz w:val="17"/>
          <w:szCs w:val="17"/>
        </w:rPr>
        <w:t xml:space="preserve"> </w:t>
      </w:r>
    </w:p>
    <w:p w14:paraId="6EFEE8DC" w14:textId="77777777" w:rsidR="00477C4E" w:rsidRPr="00CC4BC9" w:rsidRDefault="00477C4E" w:rsidP="00477C4E">
      <w:pPr>
        <w:spacing w:after="0" w:line="240" w:lineRule="auto"/>
        <w:jc w:val="both"/>
        <w:rPr>
          <w:rFonts w:ascii="Segoe UI" w:hAnsi="Segoe UI" w:cs="Segoe UI"/>
          <w:b/>
          <w:sz w:val="17"/>
          <w:szCs w:val="17"/>
          <w:shd w:val="clear" w:color="auto" w:fill="FFFFFF"/>
        </w:rPr>
      </w:pPr>
      <w:r w:rsidRPr="00CC4BC9">
        <w:rPr>
          <w:rFonts w:ascii="Segoe UI" w:hAnsi="Segoe UI" w:cs="Segoe UI"/>
          <w:b/>
          <w:sz w:val="17"/>
          <w:szCs w:val="17"/>
          <w:shd w:val="clear" w:color="auto" w:fill="FFFFFF"/>
        </w:rPr>
        <w:t xml:space="preserve">Gender Inclusion and Safety                                                                                                                </w:t>
      </w:r>
    </w:p>
    <w:p w14:paraId="44383D5A" w14:textId="5F959A20" w:rsidR="00477C4E" w:rsidRPr="001F15EA" w:rsidRDefault="00477C4E" w:rsidP="00477C4E">
      <w:pPr>
        <w:spacing w:after="0" w:line="240" w:lineRule="auto"/>
        <w:jc w:val="both"/>
        <w:rPr>
          <w:rFonts w:ascii="Segoe UI" w:hAnsi="Segoe UI" w:cs="Segoe UI"/>
          <w:sz w:val="17"/>
          <w:szCs w:val="17"/>
        </w:rPr>
      </w:pPr>
      <w:r w:rsidRPr="001F15EA">
        <w:rPr>
          <w:rFonts w:ascii="Segoe UI" w:hAnsi="Segoe UI" w:cs="Segoe UI"/>
          <w:sz w:val="17"/>
          <w:szCs w:val="17"/>
        </w:rPr>
        <w:t>PKME’s gender inclusion is promoted through product features and operational policies aimed at improving mobility access and safety for women. P</w:t>
      </w:r>
      <w:r>
        <w:rPr>
          <w:rFonts w:ascii="Segoe UI" w:hAnsi="Segoe UI" w:cs="Segoe UI"/>
          <w:sz w:val="17"/>
          <w:szCs w:val="17"/>
        </w:rPr>
        <w:t>KME</w:t>
      </w:r>
      <w:r w:rsidRPr="001F15EA">
        <w:rPr>
          <w:rFonts w:ascii="Segoe UI" w:hAnsi="Segoe UI" w:cs="Segoe UI"/>
          <w:sz w:val="17"/>
          <w:szCs w:val="17"/>
        </w:rPr>
        <w:t xml:space="preserve"> survey findings reveal that 64</w:t>
      </w:r>
      <w:r>
        <w:rPr>
          <w:rFonts w:ascii="Segoe UI" w:hAnsi="Segoe UI" w:cs="Segoe UI"/>
          <w:sz w:val="17"/>
          <w:szCs w:val="17"/>
        </w:rPr>
        <w:t>.0</w:t>
      </w:r>
      <w:r w:rsidRPr="001F15EA">
        <w:rPr>
          <w:rFonts w:ascii="Segoe UI" w:hAnsi="Segoe UI" w:cs="Segoe UI"/>
          <w:sz w:val="17"/>
          <w:szCs w:val="17"/>
        </w:rPr>
        <w:t xml:space="preserve">% of women </w:t>
      </w:r>
      <w:r>
        <w:rPr>
          <w:rFonts w:ascii="Segoe UI" w:hAnsi="Segoe UI" w:cs="Segoe UI"/>
          <w:sz w:val="17"/>
          <w:szCs w:val="17"/>
        </w:rPr>
        <w:t>drivers</w:t>
      </w:r>
      <w:r w:rsidRPr="001F15EA">
        <w:rPr>
          <w:rFonts w:ascii="Segoe UI" w:hAnsi="Segoe UI" w:cs="Segoe UI"/>
          <w:sz w:val="17"/>
          <w:szCs w:val="17"/>
        </w:rPr>
        <w:t xml:space="preserve"> can access more or better job opportunities through the platform, while 88</w:t>
      </w:r>
      <w:r>
        <w:rPr>
          <w:rFonts w:ascii="Segoe UI" w:hAnsi="Segoe UI" w:cs="Segoe UI"/>
          <w:sz w:val="17"/>
          <w:szCs w:val="17"/>
        </w:rPr>
        <w:t>.0</w:t>
      </w:r>
      <w:r w:rsidRPr="001F15EA">
        <w:rPr>
          <w:rFonts w:ascii="Segoe UI" w:hAnsi="Segoe UI" w:cs="Segoe UI"/>
          <w:sz w:val="17"/>
          <w:szCs w:val="17"/>
        </w:rPr>
        <w:t xml:space="preserve">% report that the service enables them to access previously unreachable places. To proactively support female participation and income, the company’s dispatch algorithm prioritizes women drivers for delivery orders when they are in similar proximity to male drivers. Additionally, the platform offers Lady First, a women-to-women matching option designed to directly address safety preferences and foster a secure, comfortable travel environment for women. PKME reports that female driver participation has doubled </w:t>
      </w:r>
      <w:r>
        <w:rPr>
          <w:rFonts w:ascii="Segoe UI" w:hAnsi="Segoe UI" w:cs="Segoe UI"/>
          <w:sz w:val="17"/>
          <w:szCs w:val="17"/>
        </w:rPr>
        <w:t>YoY</w:t>
      </w:r>
      <w:r w:rsidRPr="001F15EA">
        <w:rPr>
          <w:rFonts w:ascii="Segoe UI" w:hAnsi="Segoe UI" w:cs="Segoe UI"/>
          <w:sz w:val="17"/>
          <w:szCs w:val="17"/>
        </w:rPr>
        <w:t xml:space="preserve">, with over 1,000 active women drivers, contributing to improved access for an underserved segment in Sri Lanka’s transport ecosystem. Internal and industry research show that reducing the gender participation gap in ride-hailing represents a 26.7% potential annual revenue uplift, driven by increased usage among women currently underserved by informal transport alternatives. </w:t>
      </w:r>
    </w:p>
    <w:p w14:paraId="3C96823B" w14:textId="77777777" w:rsidR="00477C4E" w:rsidRPr="00CC4BC9" w:rsidRDefault="00477C4E" w:rsidP="00477C4E">
      <w:pPr>
        <w:spacing w:after="0" w:line="240" w:lineRule="auto"/>
        <w:jc w:val="both"/>
        <w:rPr>
          <w:rFonts w:ascii="Segoe UI" w:hAnsi="Segoe UI" w:cs="Segoe UI"/>
          <w:b/>
          <w:sz w:val="17"/>
          <w:szCs w:val="17"/>
          <w:shd w:val="clear" w:color="auto" w:fill="FFFFFF"/>
        </w:rPr>
      </w:pPr>
      <w:r w:rsidRPr="00CC4BC9">
        <w:rPr>
          <w:rFonts w:ascii="Segoe UI" w:hAnsi="Segoe UI" w:cs="Segoe UI"/>
          <w:b/>
          <w:sz w:val="17"/>
          <w:szCs w:val="17"/>
          <w:shd w:val="clear" w:color="auto" w:fill="FFFFFF"/>
        </w:rPr>
        <w:t>Income Opportunities, Financial Inclusion, and Merchant Access</w:t>
      </w:r>
    </w:p>
    <w:p w14:paraId="750EF7C8" w14:textId="77777777" w:rsidR="00477C4E" w:rsidRPr="001F15EA" w:rsidRDefault="00477C4E" w:rsidP="00477C4E">
      <w:pPr>
        <w:spacing w:after="0" w:line="240" w:lineRule="auto"/>
        <w:jc w:val="both"/>
        <w:rPr>
          <w:rFonts w:ascii="Segoe UI" w:hAnsi="Segoe UI" w:cs="Segoe UI"/>
          <w:sz w:val="17"/>
          <w:szCs w:val="17"/>
        </w:rPr>
      </w:pPr>
      <w:r w:rsidRPr="001F15EA">
        <w:rPr>
          <w:rFonts w:ascii="Segoe UI" w:hAnsi="Segoe UI" w:cs="Segoe UI"/>
          <w:sz w:val="17"/>
          <w:szCs w:val="17"/>
        </w:rPr>
        <w:lastRenderedPageBreak/>
        <w:t>PKME enables income generation and formal economic participation for a large supply base, including over 100,000 independent drivers and more than 4,500 merchants. Platform data show that traditional road tuk drivers operate at 39</w:t>
      </w:r>
      <w:r>
        <w:rPr>
          <w:rFonts w:ascii="Segoe UI" w:hAnsi="Segoe UI" w:cs="Segoe UI"/>
          <w:sz w:val="17"/>
          <w:szCs w:val="17"/>
        </w:rPr>
        <w:t>.0</w:t>
      </w:r>
      <w:r w:rsidRPr="001F15EA">
        <w:rPr>
          <w:rFonts w:ascii="Segoe UI" w:hAnsi="Segoe UI" w:cs="Segoe UI"/>
          <w:sz w:val="17"/>
          <w:szCs w:val="17"/>
        </w:rPr>
        <w:t>% utilization with 7.2 trips per day, whereas PKME drivers achieve 81</w:t>
      </w:r>
      <w:r>
        <w:rPr>
          <w:rFonts w:ascii="Segoe UI" w:hAnsi="Segoe UI" w:cs="Segoe UI"/>
          <w:sz w:val="17"/>
          <w:szCs w:val="17"/>
        </w:rPr>
        <w:t>.0</w:t>
      </w:r>
      <w:r w:rsidRPr="001F15EA">
        <w:rPr>
          <w:rFonts w:ascii="Segoe UI" w:hAnsi="Segoe UI" w:cs="Segoe UI"/>
          <w:sz w:val="17"/>
          <w:szCs w:val="17"/>
        </w:rPr>
        <w:t>% utilization and 17.3 trips per day within an 8.7-hour supply window</w:t>
      </w:r>
      <w:r>
        <w:rPr>
          <w:rFonts w:ascii="Segoe UI" w:hAnsi="Segoe UI" w:cs="Segoe UI"/>
          <w:sz w:val="17"/>
          <w:szCs w:val="17"/>
        </w:rPr>
        <w:t xml:space="preserve"> </w:t>
      </w:r>
      <w:r w:rsidRPr="00F63DDD">
        <w:rPr>
          <w:rFonts w:ascii="Segoe UI" w:hAnsi="Segoe UI" w:cs="Segoe UI"/>
          <w:b/>
          <w:bCs/>
          <w:sz w:val="17"/>
          <w:szCs w:val="17"/>
        </w:rPr>
        <w:t>(</w:t>
      </w:r>
      <w:r w:rsidRPr="00F63DDD">
        <w:rPr>
          <w:rFonts w:ascii="Segoe UI" w:hAnsi="Segoe UI" w:cs="Segoe UI"/>
          <w:b/>
          <w:bCs/>
          <w:sz w:val="17"/>
          <w:szCs w:val="17"/>
        </w:rPr>
        <w:fldChar w:fldCharType="begin"/>
      </w:r>
      <w:r w:rsidRPr="00F63DDD">
        <w:rPr>
          <w:rFonts w:ascii="Segoe UI" w:hAnsi="Segoe UI" w:cs="Segoe UI"/>
          <w:b/>
          <w:bCs/>
          <w:sz w:val="17"/>
          <w:szCs w:val="17"/>
        </w:rPr>
        <w:instrText xml:space="preserve"> REF _Ref217017622 \h  \* MERGEFORMAT </w:instrText>
      </w:r>
      <w:r w:rsidRPr="00F63DDD">
        <w:rPr>
          <w:rFonts w:ascii="Segoe UI" w:hAnsi="Segoe UI" w:cs="Segoe UI"/>
          <w:b/>
          <w:bCs/>
          <w:sz w:val="17"/>
          <w:szCs w:val="17"/>
        </w:rPr>
      </w:r>
      <w:r w:rsidRPr="00F63DDD">
        <w:rPr>
          <w:rFonts w:ascii="Segoe UI" w:hAnsi="Segoe UI" w:cs="Segoe UI"/>
          <w:b/>
          <w:bCs/>
          <w:sz w:val="17"/>
          <w:szCs w:val="17"/>
        </w:rPr>
        <w:fldChar w:fldCharType="separate"/>
      </w:r>
      <w:r w:rsidRPr="00F63DDD">
        <w:rPr>
          <w:rFonts w:ascii="Segoe UI" w:hAnsi="Segoe UI" w:cs="Segoe UI"/>
          <w:b/>
          <w:bCs/>
          <w:sz w:val="17"/>
          <w:szCs w:val="17"/>
        </w:rPr>
        <w:t xml:space="preserve">Figure </w:t>
      </w:r>
      <w:r w:rsidRPr="00F63DDD">
        <w:rPr>
          <w:rFonts w:ascii="Segoe UI" w:hAnsi="Segoe UI" w:cs="Segoe UI"/>
          <w:b/>
          <w:bCs/>
          <w:noProof/>
          <w:sz w:val="17"/>
          <w:szCs w:val="17"/>
        </w:rPr>
        <w:t>39</w:t>
      </w:r>
      <w:r w:rsidRPr="00F63DDD">
        <w:rPr>
          <w:rFonts w:ascii="Segoe UI" w:hAnsi="Segoe UI" w:cs="Segoe UI"/>
          <w:b/>
          <w:bCs/>
          <w:sz w:val="17"/>
          <w:szCs w:val="17"/>
        </w:rPr>
        <w:fldChar w:fldCharType="end"/>
      </w:r>
      <w:r w:rsidRPr="00F63DDD">
        <w:rPr>
          <w:rFonts w:ascii="Segoe UI" w:hAnsi="Segoe UI" w:cs="Segoe UI"/>
          <w:b/>
          <w:bCs/>
          <w:sz w:val="17"/>
          <w:szCs w:val="17"/>
        </w:rPr>
        <w:t>).</w:t>
      </w:r>
      <w:r w:rsidRPr="001F15EA">
        <w:rPr>
          <w:rFonts w:ascii="Segoe UI" w:hAnsi="Segoe UI" w:cs="Segoe UI"/>
          <w:sz w:val="17"/>
          <w:szCs w:val="17"/>
        </w:rPr>
        <w:t xml:space="preserve"> The creation of verifiable digital income records allows drivers</w:t>
      </w:r>
      <w:r>
        <w:rPr>
          <w:rFonts w:ascii="Segoe UI" w:hAnsi="Segoe UI" w:cs="Segoe UI"/>
          <w:sz w:val="17"/>
          <w:szCs w:val="17"/>
        </w:rPr>
        <w:t xml:space="preserve">, </w:t>
      </w:r>
      <w:r w:rsidRPr="001F15EA">
        <w:rPr>
          <w:rFonts w:ascii="Segoe UI" w:hAnsi="Segoe UI" w:cs="Segoe UI"/>
          <w:sz w:val="17"/>
          <w:szCs w:val="17"/>
        </w:rPr>
        <w:t>many previously outside the formal economy</w:t>
      </w:r>
      <w:r>
        <w:rPr>
          <w:rFonts w:ascii="Segoe UI" w:hAnsi="Segoe UI" w:cs="Segoe UI"/>
          <w:sz w:val="17"/>
          <w:szCs w:val="17"/>
        </w:rPr>
        <w:t xml:space="preserve">, </w:t>
      </w:r>
      <w:r w:rsidRPr="001F15EA">
        <w:rPr>
          <w:rFonts w:ascii="Segoe UI" w:hAnsi="Segoe UI" w:cs="Segoe UI"/>
          <w:sz w:val="17"/>
          <w:szCs w:val="17"/>
        </w:rPr>
        <w:t>to secure banking services, credit facilities, and device-financing schemes, improving their financial stability and ability to maintain platform participation. The platform enables dark store operations, allowing small vendors and home-based entrepreneurs to commercialize products without capital investment in physical storefronts or logistics fleets. In a commitment to attract and retain talented employees, the Board of Directors resolved to establish an Employee Share Option Plan (ESOP), encompassing 16,666,000 ordinary voting shares (approximately 5</w:t>
      </w:r>
      <w:r>
        <w:rPr>
          <w:rFonts w:ascii="Segoe UI" w:hAnsi="Segoe UI" w:cs="Segoe UI"/>
          <w:sz w:val="17"/>
          <w:szCs w:val="17"/>
        </w:rPr>
        <w:t>.0</w:t>
      </w:r>
      <w:r w:rsidRPr="001F15EA">
        <w:rPr>
          <w:rFonts w:ascii="Segoe UI" w:hAnsi="Segoe UI" w:cs="Segoe UI"/>
          <w:sz w:val="17"/>
          <w:szCs w:val="17"/>
        </w:rPr>
        <w:t>% of voting shares) over a five-year period.</w:t>
      </w:r>
      <w:r w:rsidRPr="00137D6B">
        <w:rPr>
          <w:rFonts w:ascii="Segoe UI" w:hAnsi="Segoe UI" w:cs="Segoe UI"/>
          <w:noProof/>
          <w:sz w:val="17"/>
          <w:szCs w:val="17"/>
        </w:rPr>
        <w:t xml:space="preserve"> </w:t>
      </w:r>
    </w:p>
    <w:p w14:paraId="5A44B881" w14:textId="316FE1C6" w:rsidR="00477C4E" w:rsidRPr="00BA0473" w:rsidRDefault="00477C4E" w:rsidP="00477C4E">
      <w:pPr>
        <w:spacing w:after="0" w:line="240" w:lineRule="auto"/>
        <w:rPr>
          <w:rFonts w:ascii="Segoe UI" w:hAnsi="Segoe UI" w:cs="Segoe UI"/>
          <w:b/>
          <w:bCs/>
          <w:sz w:val="18"/>
          <w:szCs w:val="18"/>
          <w:shd w:val="clear" w:color="auto" w:fill="FFFFFF"/>
        </w:rPr>
      </w:pPr>
      <w:r w:rsidRPr="00CC4BC9">
        <w:rPr>
          <w:rFonts w:ascii="Segoe UI" w:hAnsi="Segoe UI" w:cs="Segoe UI"/>
          <w:b/>
          <w:noProof/>
          <w:sz w:val="17"/>
          <w:szCs w:val="17"/>
          <w:shd w:val="clear" w:color="auto" w:fill="FFFFFF"/>
        </w:rPr>
        <mc:AlternateContent>
          <mc:Choice Requires="wps">
            <w:drawing>
              <wp:anchor distT="0" distB="0" distL="114300" distR="114300" simplePos="0" relativeHeight="251662336" behindDoc="0" locked="0" layoutInCell="1" allowOverlap="1" wp14:anchorId="2E7FF663" wp14:editId="2C35470B">
                <wp:simplePos x="0" y="0"/>
                <wp:positionH relativeFrom="margin">
                  <wp:posOffset>-30480</wp:posOffset>
                </wp:positionH>
                <wp:positionV relativeFrom="paragraph">
                  <wp:posOffset>157480</wp:posOffset>
                </wp:positionV>
                <wp:extent cx="4808220" cy="0"/>
                <wp:effectExtent l="0" t="0" r="0" b="0"/>
                <wp:wrapNone/>
                <wp:docPr id="433149072"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01438F" id="Straight Connector 122"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pt,12.4pt" to="376.2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" strokecolor="#ffc000" strokeweight="1.5pt">
                <v:stroke joinstyle="miter"/>
                <w10:wrap anchorx="margin"/>
              </v:line>
            </w:pict>
          </mc:Fallback>
        </mc:AlternateContent>
      </w:r>
      <w:r w:rsidRPr="00BA0473">
        <w:rPr>
          <w:rFonts w:ascii="Segoe UI" w:hAnsi="Segoe UI" w:cs="Segoe UI"/>
          <w:b/>
          <w:sz w:val="18"/>
          <w:szCs w:val="18"/>
        </w:rPr>
        <w:t>Governance</w:t>
      </w:r>
    </w:p>
    <w:p w14:paraId="196708A7" w14:textId="77777777" w:rsidR="00477C4E" w:rsidRPr="00BA0473" w:rsidRDefault="00477C4E" w:rsidP="00477C4E">
      <w:pPr>
        <w:spacing w:after="0" w:line="240" w:lineRule="auto"/>
        <w:jc w:val="both"/>
        <w:textAlignment w:val="baseline"/>
        <w:rPr>
          <w:rFonts w:ascii="Segoe UI" w:hAnsi="Segoe UI" w:cs="Segoe UI"/>
          <w:sz w:val="16"/>
          <w:szCs w:val="16"/>
          <w:shd w:val="clear" w:color="auto" w:fill="FFFFFF"/>
        </w:rPr>
      </w:pPr>
      <w:r w:rsidRPr="00CC4BC9">
        <w:rPr>
          <w:rFonts w:ascii="Segoe UI" w:hAnsi="Segoe UI" w:cs="Segoe UI"/>
          <w:b/>
          <w:sz w:val="17"/>
          <w:szCs w:val="17"/>
          <w:shd w:val="clear" w:color="auto" w:fill="FFFFFF"/>
        </w:rPr>
        <w:t>Compliance with Code of Best Practices</w:t>
      </w:r>
      <w:r w:rsidRPr="00001ED5">
        <w:rPr>
          <w:rFonts w:ascii="Segoe UI" w:hAnsi="Segoe UI" w:cs="Segoe UI"/>
          <w:sz w:val="16"/>
          <w:szCs w:val="16"/>
        </w:rPr>
        <w:t> </w:t>
      </w:r>
    </w:p>
    <w:p w14:paraId="20C3B5B4" w14:textId="77777777" w:rsidR="00477C4E" w:rsidRPr="00262A27" w:rsidRDefault="00477C4E" w:rsidP="00477C4E">
      <w:pPr>
        <w:spacing w:after="0" w:line="240" w:lineRule="auto"/>
        <w:jc w:val="both"/>
        <w:rPr>
          <w:rFonts w:ascii="Segoe UI" w:hAnsi="Segoe UI" w:cs="Segoe UI"/>
          <w:b/>
          <w:bCs/>
          <w:sz w:val="17"/>
          <w:szCs w:val="17"/>
        </w:rPr>
      </w:pPr>
      <w:r w:rsidRPr="001F15EA">
        <w:rPr>
          <w:rFonts w:ascii="Segoe UI" w:hAnsi="Segoe UI" w:cs="Segoe UI"/>
          <w:sz w:val="17"/>
          <w:szCs w:val="17"/>
        </w:rPr>
        <w:t>PKME strictly adheres to the Listing Rules of the Colombo Stock Exchange (CSE), the Companies Act No. 07 of 2007, and the Code of Best Practice on Corporate Governance issued by CA Sri Lanka. For the financial year ended March 31, 2025, the Board confirmed full compliance with Section 9 of the CSE Listing Rules, maintaining twelve formal written policies that cover areas such as corporate governance and shareholder relations. The Board composition surpasses regulatory minimums, consisting of nine directors: two Executive Directors and seven Non-Executive Directors. Of the Non-Executive Directors, four are Independent (44</w:t>
      </w:r>
      <w:r>
        <w:rPr>
          <w:rFonts w:ascii="Segoe UI" w:hAnsi="Segoe UI" w:cs="Segoe UI"/>
          <w:sz w:val="17"/>
          <w:szCs w:val="17"/>
        </w:rPr>
        <w:t>.0</w:t>
      </w:r>
      <w:r w:rsidRPr="001F15EA">
        <w:rPr>
          <w:rFonts w:ascii="Segoe UI" w:hAnsi="Segoe UI" w:cs="Segoe UI"/>
          <w:sz w:val="17"/>
          <w:szCs w:val="17"/>
        </w:rPr>
        <w:t>%), ensuring that independent judgment is a dominant factor in decision-making. </w:t>
      </w:r>
      <w:r w:rsidRPr="00262A27">
        <w:rPr>
          <w:rFonts w:ascii="Segoe UI" w:hAnsi="Segoe UI" w:cs="Segoe UI"/>
          <w:b/>
          <w:bCs/>
          <w:sz w:val="17"/>
          <w:szCs w:val="17"/>
        </w:rPr>
        <w:t>(</w:t>
      </w:r>
      <w:r w:rsidRPr="00262A27">
        <w:rPr>
          <w:rFonts w:ascii="Segoe UI" w:hAnsi="Segoe UI" w:cs="Segoe UI"/>
          <w:b/>
          <w:bCs/>
          <w:sz w:val="17"/>
          <w:szCs w:val="17"/>
        </w:rPr>
        <w:fldChar w:fldCharType="begin"/>
      </w:r>
      <w:r w:rsidRPr="00262A27">
        <w:rPr>
          <w:rFonts w:ascii="Segoe UI" w:hAnsi="Segoe UI" w:cs="Segoe UI"/>
          <w:b/>
          <w:bCs/>
          <w:sz w:val="17"/>
          <w:szCs w:val="17"/>
        </w:rPr>
        <w:instrText xml:space="preserve"> REF _Ref217017676 \h  \* MERGEFORMAT </w:instrText>
      </w:r>
      <w:r w:rsidRPr="00262A27">
        <w:rPr>
          <w:rFonts w:ascii="Segoe UI" w:hAnsi="Segoe UI" w:cs="Segoe UI"/>
          <w:b/>
          <w:bCs/>
          <w:sz w:val="17"/>
          <w:szCs w:val="17"/>
        </w:rPr>
      </w:r>
      <w:r w:rsidRPr="00262A27">
        <w:rPr>
          <w:rFonts w:ascii="Segoe UI" w:hAnsi="Segoe UI" w:cs="Segoe UI"/>
          <w:b/>
          <w:bCs/>
          <w:sz w:val="17"/>
          <w:szCs w:val="17"/>
        </w:rPr>
        <w:fldChar w:fldCharType="separate"/>
      </w:r>
      <w:r w:rsidRPr="00262A27">
        <w:rPr>
          <w:rFonts w:ascii="Segoe UI" w:hAnsi="Segoe UI" w:cs="Segoe UI"/>
          <w:b/>
          <w:bCs/>
          <w:sz w:val="17"/>
          <w:szCs w:val="17"/>
        </w:rPr>
        <w:t xml:space="preserve">Figure </w:t>
      </w:r>
      <w:r w:rsidRPr="00262A27">
        <w:rPr>
          <w:rFonts w:ascii="Segoe UI" w:hAnsi="Segoe UI" w:cs="Segoe UI"/>
          <w:b/>
          <w:bCs/>
          <w:noProof/>
          <w:sz w:val="17"/>
          <w:szCs w:val="17"/>
        </w:rPr>
        <w:t>42</w:t>
      </w:r>
      <w:r w:rsidRPr="00262A27">
        <w:rPr>
          <w:rFonts w:ascii="Segoe UI" w:hAnsi="Segoe UI" w:cs="Segoe UI"/>
          <w:b/>
          <w:bCs/>
          <w:sz w:val="17"/>
          <w:szCs w:val="17"/>
        </w:rPr>
        <w:fldChar w:fldCharType="end"/>
      </w:r>
      <w:r w:rsidRPr="00262A27">
        <w:rPr>
          <w:rFonts w:ascii="Segoe UI" w:hAnsi="Segoe UI" w:cs="Segoe UI"/>
          <w:b/>
          <w:bCs/>
          <w:sz w:val="17"/>
          <w:szCs w:val="17"/>
        </w:rPr>
        <w:t>)</w:t>
      </w:r>
      <w:r>
        <w:rPr>
          <w:rFonts w:ascii="Segoe UI" w:hAnsi="Segoe UI" w:cs="Segoe UI"/>
          <w:b/>
          <w:bCs/>
          <w:sz w:val="17"/>
          <w:szCs w:val="17"/>
        </w:rPr>
        <w:t xml:space="preserve"> </w:t>
      </w:r>
      <w:hyperlink w:anchor="_Appendix_09:_Board" w:history="1">
        <w:r w:rsidRPr="00262A27">
          <w:rPr>
            <w:rStyle w:val="Hyperlink"/>
            <w:rFonts w:ascii="Segoe UI" w:hAnsi="Segoe UI" w:cs="Segoe UI"/>
            <w:b/>
            <w:bCs/>
            <w:sz w:val="17"/>
            <w:szCs w:val="17"/>
          </w:rPr>
          <w:t>(Appendix 9)</w:t>
        </w:r>
      </w:hyperlink>
    </w:p>
    <w:p w14:paraId="0F1E755D" w14:textId="77777777" w:rsidR="00477C4E" w:rsidRDefault="00477C4E" w:rsidP="00477C4E">
      <w:pPr>
        <w:spacing w:after="0" w:line="240" w:lineRule="auto"/>
        <w:jc w:val="both"/>
        <w:textAlignment w:val="baseline"/>
        <w:rPr>
          <w:rFonts w:ascii="Segoe UI" w:hAnsi="Segoe UI" w:cs="Segoe UI"/>
          <w:b/>
          <w:sz w:val="17"/>
          <w:szCs w:val="17"/>
          <w:shd w:val="clear" w:color="auto" w:fill="FFFFFF"/>
        </w:rPr>
      </w:pPr>
    </w:p>
    <w:p w14:paraId="1E892264" w14:textId="77777777" w:rsidR="00477C4E" w:rsidRDefault="00477C4E" w:rsidP="00477C4E">
      <w:pPr>
        <w:spacing w:after="0" w:line="240" w:lineRule="auto"/>
        <w:jc w:val="both"/>
        <w:textAlignment w:val="baseline"/>
        <w:rPr>
          <w:rFonts w:ascii="Segoe UI" w:hAnsi="Segoe UI" w:cs="Segoe UI"/>
          <w:b/>
          <w:sz w:val="17"/>
          <w:szCs w:val="17"/>
          <w:shd w:val="clear" w:color="auto" w:fill="FFFFFF"/>
        </w:rPr>
      </w:pPr>
    </w:p>
    <w:p w14:paraId="0DF91340" w14:textId="77777777" w:rsidR="00477C4E" w:rsidRPr="00CC4BC9" w:rsidRDefault="00477C4E" w:rsidP="00477C4E">
      <w:pPr>
        <w:spacing w:after="0" w:line="240" w:lineRule="auto"/>
        <w:jc w:val="both"/>
        <w:textAlignment w:val="baseline"/>
        <w:rPr>
          <w:rFonts w:ascii="Segoe UI" w:hAnsi="Segoe UI" w:cs="Segoe UI"/>
          <w:b/>
          <w:sz w:val="17"/>
          <w:szCs w:val="17"/>
          <w:shd w:val="clear" w:color="auto" w:fill="FFFFFF"/>
        </w:rPr>
      </w:pPr>
      <w:r w:rsidRPr="00CC4BC9">
        <w:rPr>
          <w:rFonts w:ascii="Segoe UI" w:hAnsi="Segoe UI" w:cs="Segoe UI"/>
          <w:b/>
          <w:sz w:val="17"/>
          <w:szCs w:val="17"/>
          <w:shd w:val="clear" w:color="auto" w:fill="FFFFFF"/>
        </w:rPr>
        <w:t>Minimizing Agency Conflict </w:t>
      </w:r>
    </w:p>
    <w:p w14:paraId="27642537" w14:textId="77777777" w:rsidR="00477C4E" w:rsidRPr="001F15EA" w:rsidRDefault="00477C4E" w:rsidP="00477C4E">
      <w:pPr>
        <w:spacing w:after="0" w:line="240" w:lineRule="auto"/>
        <w:jc w:val="both"/>
        <w:rPr>
          <w:rFonts w:ascii="Segoe UI" w:hAnsi="Segoe UI" w:cs="Segoe UI"/>
          <w:sz w:val="17"/>
          <w:szCs w:val="17"/>
        </w:rPr>
      </w:pPr>
      <w:r w:rsidRPr="001F15EA">
        <w:rPr>
          <w:rFonts w:ascii="Segoe UI" w:hAnsi="Segoe UI" w:cs="Segoe UI"/>
          <w:sz w:val="17"/>
          <w:szCs w:val="17"/>
        </w:rPr>
        <w:t>The Company minimizes agency conflict through a clear structural separation of the Chairman and Chief Executive Officer roles, held by Mr. Ajit Gunewardene (Non-Executive Chairman) and Mr. Jiffry Zulfer (Founder and CEO), respectively. This division ensures that no single individual possesses unrestrained decision-making power</w:t>
      </w:r>
      <w:r>
        <w:rPr>
          <w:rFonts w:ascii="Segoe UI" w:hAnsi="Segoe UI" w:cs="Segoe UI"/>
          <w:sz w:val="17"/>
          <w:szCs w:val="17"/>
        </w:rPr>
        <w:t xml:space="preserve">. </w:t>
      </w:r>
      <w:r w:rsidRPr="001F15EA">
        <w:rPr>
          <w:rFonts w:ascii="Segoe UI" w:hAnsi="Segoe UI" w:cs="Segoe UI"/>
          <w:sz w:val="17"/>
          <w:szCs w:val="17"/>
        </w:rPr>
        <w:t>The Board declared that no related party transactions exceeded the regulatory thresholds requiring immediate market disclosure during the year. Additionally, statutory conflicts are managed via an Interests Register, where directors record material interests and abstain from voting on relevant matters.</w:t>
      </w:r>
      <w:r w:rsidRPr="00137D6B">
        <w:rPr>
          <w:rFonts w:ascii="Segoe UI" w:hAnsi="Segoe UI" w:cs="Segoe UI"/>
          <w:noProof/>
          <w:sz w:val="17"/>
          <w:szCs w:val="17"/>
        </w:rPr>
        <w:t xml:space="preserve"> </w:t>
      </w:r>
    </w:p>
    <w:p w14:paraId="47F473D7" w14:textId="1E1FA329" w:rsidR="00477C4E" w:rsidRDefault="00477C4E" w:rsidP="00477C4E">
      <w:pPr>
        <w:spacing w:after="0" w:line="240" w:lineRule="auto"/>
        <w:jc w:val="both"/>
        <w:textAlignment w:val="baseline"/>
        <w:rPr>
          <w:rFonts w:ascii="Segoe UI" w:hAnsi="Segoe UI" w:cs="Segoe UI"/>
          <w:b/>
          <w:bCs/>
          <w:sz w:val="16"/>
          <w:szCs w:val="16"/>
        </w:rPr>
      </w:pPr>
      <w:r w:rsidRPr="00CC4BC9">
        <w:rPr>
          <w:rFonts w:ascii="Segoe UI" w:hAnsi="Segoe UI" w:cs="Segoe UI"/>
          <w:b/>
          <w:sz w:val="17"/>
          <w:szCs w:val="17"/>
          <w:shd w:val="clear" w:color="auto" w:fill="FFFFFF"/>
        </w:rPr>
        <w:t>Ethical Governance, and Robust Risk Management</w:t>
      </w:r>
      <w:r w:rsidRPr="00001ED5">
        <w:rPr>
          <w:rFonts w:ascii="Segoe UI" w:hAnsi="Segoe UI" w:cs="Segoe UI"/>
          <w:b/>
          <w:bCs/>
          <w:sz w:val="16"/>
          <w:szCs w:val="16"/>
        </w:rPr>
        <w:t> </w:t>
      </w:r>
    </w:p>
    <w:p w14:paraId="2CE89C22" w14:textId="080CD62D" w:rsidR="004B1884" w:rsidRDefault="00477C4E" w:rsidP="00477C4E">
      <w:r w:rsidRPr="001F15EA">
        <w:rPr>
          <w:rFonts w:ascii="Segoe UI" w:hAnsi="Segoe UI" w:cs="Segoe UI"/>
          <w:sz w:val="17"/>
          <w:szCs w:val="17"/>
        </w:rPr>
        <w:t>Ethical conduct is institutionalized through a Code of Business Conduct and Ethics and a newly formalized Whistleblowing Policy, with the Chairman confirming zero reported violations or material incidents for the fiscal year. This structure oversees an Enterprise Risk Management (ERM) framework utilizing a "Three Lines of Defense" model and a quarterly-reviewed Enterprise Risk Register. Specific attention is paid to digital risks, with cybersecurity protocols aligned with the NIST Cybersecurity Framework and ongoing measures to align data privacy practices with Sri Lanka's Personal Data Protection Act (PDPA).</w:t>
      </w:r>
      <w:r>
        <w:rPr>
          <w:rFonts w:ascii="Segoe UI" w:hAnsi="Segoe UI" w:cs="Segoe UI"/>
          <w:sz w:val="17"/>
          <w:szCs w:val="17"/>
        </w:rPr>
        <w:t xml:space="preserve"> </w:t>
      </w:r>
      <w:r w:rsidRPr="002F5C56">
        <w:rPr>
          <w:rFonts w:ascii="Segoe UI" w:hAnsi="Segoe UI" w:cs="Segoe UI"/>
          <w:sz w:val="17"/>
          <w:szCs w:val="17"/>
        </w:rPr>
        <w:t>Furthermore, PKME achieves a high ESG Corporate Governance score of 92.6%</w:t>
      </w:r>
      <w:r>
        <w:rPr>
          <w:rFonts w:ascii="Segoe UI" w:hAnsi="Segoe UI" w:cs="Segoe UI"/>
          <w:sz w:val="17"/>
          <w:szCs w:val="17"/>
        </w:rPr>
        <w:t xml:space="preserve"> </w:t>
      </w:r>
      <w:hyperlink w:anchor="_Appendix_09:_Board" w:history="1">
        <w:r w:rsidRPr="00262A27">
          <w:rPr>
            <w:rStyle w:val="Hyperlink"/>
            <w:rFonts w:ascii="Segoe UI" w:hAnsi="Segoe UI" w:cs="Segoe UI"/>
            <w:b/>
            <w:bCs/>
            <w:sz w:val="17"/>
            <w:szCs w:val="17"/>
          </w:rPr>
          <w:t>(Appendix 10)</w:t>
        </w:r>
      </w:hyperlink>
      <w:r w:rsidRPr="002F5C56">
        <w:rPr>
          <w:rFonts w:ascii="Segoe UI" w:hAnsi="Segoe UI" w:cs="Segoe UI"/>
          <w:sz w:val="17"/>
          <w:szCs w:val="17"/>
        </w:rPr>
        <w:t>, calculated using a scorecard based on the CFA Institute Corporate Governance Manual, which evaluates the alignment of board structures, shareholder rights, and management transparency with international best practices.</w:t>
      </w:r>
    </w:p>
    <w:sectPr w:rsidR="004B1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Light">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C4E"/>
    <w:rsid w:val="000A135B"/>
    <w:rsid w:val="000D76C6"/>
    <w:rsid w:val="0042326B"/>
    <w:rsid w:val="00442C4F"/>
    <w:rsid w:val="00477C4E"/>
    <w:rsid w:val="004B1884"/>
    <w:rsid w:val="00BB0223"/>
    <w:rsid w:val="00DC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EA3C7"/>
  <w15:chartTrackingRefBased/>
  <w15:docId w15:val="{1AB05C38-4673-4F51-85D8-238AC4B59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C4E"/>
  </w:style>
  <w:style w:type="paragraph" w:styleId="Heading1">
    <w:name w:val="heading 1"/>
    <w:basedOn w:val="Normal"/>
    <w:next w:val="Normal"/>
    <w:link w:val="Heading1Char"/>
    <w:uiPriority w:val="9"/>
    <w:qFormat/>
    <w:rsid w:val="00477C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7C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7C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7C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C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C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7C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7C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7C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7C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7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C4E"/>
    <w:rPr>
      <w:rFonts w:eastAsiaTheme="majorEastAsia" w:cstheme="majorBidi"/>
      <w:color w:val="272727" w:themeColor="text1" w:themeTint="D8"/>
    </w:rPr>
  </w:style>
  <w:style w:type="paragraph" w:styleId="Title">
    <w:name w:val="Title"/>
    <w:basedOn w:val="Normal"/>
    <w:next w:val="Normal"/>
    <w:link w:val="TitleChar"/>
    <w:uiPriority w:val="10"/>
    <w:qFormat/>
    <w:rsid w:val="00477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C4E"/>
    <w:pPr>
      <w:spacing w:before="160"/>
      <w:jc w:val="center"/>
    </w:pPr>
    <w:rPr>
      <w:i/>
      <w:iCs/>
      <w:color w:val="404040" w:themeColor="text1" w:themeTint="BF"/>
    </w:rPr>
  </w:style>
  <w:style w:type="character" w:customStyle="1" w:styleId="QuoteChar">
    <w:name w:val="Quote Char"/>
    <w:basedOn w:val="DefaultParagraphFont"/>
    <w:link w:val="Quote"/>
    <w:uiPriority w:val="29"/>
    <w:rsid w:val="00477C4E"/>
    <w:rPr>
      <w:i/>
      <w:iCs/>
      <w:color w:val="404040" w:themeColor="text1" w:themeTint="BF"/>
    </w:rPr>
  </w:style>
  <w:style w:type="paragraph" w:styleId="ListParagraph">
    <w:name w:val="List Paragraph"/>
    <w:basedOn w:val="Normal"/>
    <w:uiPriority w:val="34"/>
    <w:qFormat/>
    <w:rsid w:val="00477C4E"/>
    <w:pPr>
      <w:ind w:left="720"/>
      <w:contextualSpacing/>
    </w:pPr>
  </w:style>
  <w:style w:type="character" w:styleId="IntenseEmphasis">
    <w:name w:val="Intense Emphasis"/>
    <w:basedOn w:val="DefaultParagraphFont"/>
    <w:uiPriority w:val="21"/>
    <w:qFormat/>
    <w:rsid w:val="00477C4E"/>
    <w:rPr>
      <w:i/>
      <w:iCs/>
      <w:color w:val="2F5496" w:themeColor="accent1" w:themeShade="BF"/>
    </w:rPr>
  </w:style>
  <w:style w:type="paragraph" w:styleId="IntenseQuote">
    <w:name w:val="Intense Quote"/>
    <w:basedOn w:val="Normal"/>
    <w:next w:val="Normal"/>
    <w:link w:val="IntenseQuoteChar"/>
    <w:uiPriority w:val="30"/>
    <w:qFormat/>
    <w:rsid w:val="00477C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C4E"/>
    <w:rPr>
      <w:i/>
      <w:iCs/>
      <w:color w:val="2F5496" w:themeColor="accent1" w:themeShade="BF"/>
    </w:rPr>
  </w:style>
  <w:style w:type="character" w:styleId="IntenseReference">
    <w:name w:val="Intense Reference"/>
    <w:basedOn w:val="DefaultParagraphFont"/>
    <w:uiPriority w:val="32"/>
    <w:qFormat/>
    <w:rsid w:val="00477C4E"/>
    <w:rPr>
      <w:b/>
      <w:bCs/>
      <w:smallCaps/>
      <w:color w:val="2F5496" w:themeColor="accent1" w:themeShade="BF"/>
      <w:spacing w:val="5"/>
    </w:rPr>
  </w:style>
  <w:style w:type="character" w:styleId="Hyperlink">
    <w:name w:val="Hyperlink"/>
    <w:basedOn w:val="DefaultParagraphFont"/>
    <w:uiPriority w:val="99"/>
    <w:unhideWhenUsed/>
    <w:rsid w:val="00477C4E"/>
    <w:rPr>
      <w:color w:val="0563C1" w:themeColor="hyperlink"/>
      <w:u w:val="single"/>
    </w:rPr>
  </w:style>
  <w:style w:type="paragraph" w:styleId="Caption">
    <w:name w:val="caption"/>
    <w:basedOn w:val="Normal"/>
    <w:next w:val="Normal"/>
    <w:uiPriority w:val="35"/>
    <w:unhideWhenUsed/>
    <w:qFormat/>
    <w:rsid w:val="00477C4E"/>
    <w:pPr>
      <w:spacing w:after="200" w:line="240" w:lineRule="auto"/>
    </w:pPr>
    <w:rPr>
      <w:i/>
      <w:iCs/>
      <w:color w:val="44546A" w:themeColor="text2"/>
      <w:sz w:val="18"/>
      <w:szCs w:val="18"/>
    </w:rPr>
  </w:style>
  <w:style w:type="paragraph" w:customStyle="1" w:styleId="PKME">
    <w:name w:val="PKME"/>
    <w:basedOn w:val="Heading4"/>
    <w:link w:val="PKMEChar"/>
    <w:qFormat/>
    <w:rsid w:val="00477C4E"/>
    <w:pPr>
      <w:jc w:val="center"/>
    </w:pPr>
    <w:rPr>
      <w:rFonts w:ascii="Segoe UI" w:hAnsi="Segoe UI" w:cs="Yu Mincho Light"/>
      <w:b/>
      <w:i w:val="0"/>
      <w:color w:val="000000" w:themeColor="text1"/>
      <w:kern w:val="0"/>
      <w:sz w:val="16"/>
      <w:szCs w:val="20"/>
      <w14:ligatures w14:val="none"/>
    </w:rPr>
  </w:style>
  <w:style w:type="character" w:customStyle="1" w:styleId="PKMEChar">
    <w:name w:val="PKME Char"/>
    <w:basedOn w:val="DefaultParagraphFont"/>
    <w:link w:val="PKME"/>
    <w:rsid w:val="00477C4E"/>
    <w:rPr>
      <w:rFonts w:ascii="Segoe UI" w:eastAsiaTheme="majorEastAsia" w:hAnsi="Segoe UI" w:cs="Yu Mincho Light"/>
      <w:b/>
      <w:iCs/>
      <w:color w:val="000000" w:themeColor="text1"/>
      <w:kern w:val="0"/>
      <w:sz w:val="1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1399</Words>
  <Characters>8394</Characters>
  <Application>Microsoft Office Word</Application>
  <DocSecurity>0</DocSecurity>
  <Lines>89</Lines>
  <Paragraphs>15</Paragraphs>
  <ScaleCrop>false</ScaleCrop>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FE/2021/003 - MEDUNGODA S.</dc:creator>
  <cp:keywords/>
  <dc:description/>
  <cp:lastModifiedBy>FE/2021/003 - MEDUNGODA S.</cp:lastModifiedBy>
  <cp:revision>1</cp:revision>
  <dcterms:created xsi:type="dcterms:W3CDTF">2025-12-19T02:34:00Z</dcterms:created>
  <dcterms:modified xsi:type="dcterms:W3CDTF">2025-12-19T02:38:00Z</dcterms:modified>
</cp:coreProperties>
</file>