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C248A" w14:textId="77777777" w:rsidR="00BB69A8" w:rsidRPr="005F1E93" w:rsidRDefault="00BB69A8" w:rsidP="00BB69A8">
      <w:pPr>
        <w:spacing w:after="0"/>
        <w:rPr>
          <w:rFonts w:ascii="Segoe UI" w:hAnsi="Segoe UI" w:cs="Segoe UI"/>
          <w:b/>
          <w:sz w:val="20"/>
          <w:szCs w:val="20"/>
        </w:rPr>
      </w:pPr>
      <w:r w:rsidRPr="00001ED5">
        <w:rPr>
          <w:rFonts w:ascii="Segoe UI" w:hAnsi="Segoe UI" w:cs="Segoe UI"/>
          <w:noProof/>
          <w:color w:val="000000" w:themeColor="text1"/>
          <w:sz w:val="16"/>
          <w:szCs w:val="16"/>
        </w:rPr>
        <mc:AlternateContent>
          <mc:Choice Requires="wps">
            <w:drawing>
              <wp:anchor distT="0" distB="0" distL="114300" distR="114300" simplePos="0" relativeHeight="251659264" behindDoc="0" locked="0" layoutInCell="1" allowOverlap="1" wp14:anchorId="4DE45815" wp14:editId="4C13F808">
                <wp:simplePos x="0" y="0"/>
                <wp:positionH relativeFrom="margin">
                  <wp:posOffset>-22860</wp:posOffset>
                </wp:positionH>
                <wp:positionV relativeFrom="paragraph">
                  <wp:posOffset>203200</wp:posOffset>
                </wp:positionV>
                <wp:extent cx="4808220" cy="0"/>
                <wp:effectExtent l="0" t="0" r="0" b="0"/>
                <wp:wrapNone/>
                <wp:docPr id="1240216220"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A02FC5" id="Straight Connector 12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pt,16pt" to="376.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" strokecolor="#002060" strokeweight="1.5pt">
                <v:stroke joinstyle="miter"/>
                <w10:wrap anchorx="margin"/>
              </v:line>
            </w:pict>
          </mc:Fallback>
        </mc:AlternateContent>
      </w:r>
      <w:r w:rsidRPr="005F1E93">
        <w:rPr>
          <w:rFonts w:ascii="Segoe UI" w:hAnsi="Segoe UI" w:cs="Segoe UI"/>
          <w:b/>
          <w:sz w:val="20"/>
          <w:szCs w:val="20"/>
        </w:rPr>
        <w:t>FINANCIAL ANALYSIS</w:t>
      </w:r>
    </w:p>
    <w:p w14:paraId="47929321" w14:textId="019484F3" w:rsidR="00BB69A8" w:rsidRDefault="00BB69A8" w:rsidP="00BB69A8">
      <w:pPr>
        <w:pStyle w:val="paragraph"/>
        <w:spacing w:before="0" w:beforeAutospacing="0" w:after="0" w:afterAutospacing="0"/>
        <w:jc w:val="both"/>
        <w:textAlignment w:val="baseline"/>
        <w:rPr>
          <w:rFonts w:ascii="Segoe UI" w:eastAsia="Calibri" w:hAnsi="Segoe UI" w:cs="Segoe UI"/>
          <w:b/>
          <w:bCs/>
          <w:sz w:val="18"/>
          <w:szCs w:val="18"/>
        </w:rPr>
      </w:pPr>
      <w:bookmarkStart w:id="0" w:name="OLE_LINK2"/>
      <w:r w:rsidRPr="00BA0473">
        <w:rPr>
          <w:rFonts w:ascii="Segoe UI" w:eastAsia="Calibri" w:hAnsi="Segoe UI" w:cs="Segoe UI"/>
          <w:b/>
          <w:bCs/>
          <w:noProof/>
          <w:sz w:val="18"/>
          <w:szCs w:val="18"/>
        </w:rPr>
        <mc:AlternateContent>
          <mc:Choice Requires="wps">
            <w:drawing>
              <wp:anchor distT="0" distB="0" distL="114300" distR="114300" simplePos="0" relativeHeight="251660288" behindDoc="0" locked="0" layoutInCell="1" allowOverlap="1" wp14:anchorId="13AE5F6A" wp14:editId="39BD1427">
                <wp:simplePos x="0" y="0"/>
                <wp:positionH relativeFrom="margin">
                  <wp:posOffset>-13970</wp:posOffset>
                </wp:positionH>
                <wp:positionV relativeFrom="paragraph">
                  <wp:posOffset>163195</wp:posOffset>
                </wp:positionV>
                <wp:extent cx="4808220" cy="0"/>
                <wp:effectExtent l="0" t="0" r="0" b="0"/>
                <wp:wrapNone/>
                <wp:docPr id="1008872026"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6F37F" id="Straight Connector 12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pt,12.85pt" to="377.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" strokecolor="#ffc000" strokeweight="1.5pt">
                <v:stroke joinstyle="miter"/>
                <w10:wrap anchorx="margin"/>
              </v:line>
            </w:pict>
          </mc:Fallback>
        </mc:AlternateContent>
      </w:r>
      <w:r w:rsidRPr="00BA0473">
        <w:rPr>
          <w:rFonts w:ascii="Segoe UI" w:eastAsia="Calibri" w:hAnsi="Segoe UI" w:cs="Segoe UI"/>
          <w:b/>
          <w:bCs/>
          <w:sz w:val="18"/>
          <w:szCs w:val="18"/>
        </w:rPr>
        <w:t>Financial Analysis</w:t>
      </w:r>
    </w:p>
    <w:p w14:paraId="5D234063" w14:textId="77777777" w:rsidR="00BB69A8" w:rsidRDefault="00BB69A8" w:rsidP="00BB69A8">
      <w:pPr>
        <w:spacing w:after="0" w:line="240" w:lineRule="auto"/>
        <w:jc w:val="both"/>
        <w:rPr>
          <w:rFonts w:ascii="Segoe UI" w:hAnsi="Segoe UI" w:cs="Segoe UI"/>
          <w:sz w:val="17"/>
          <w:szCs w:val="17"/>
        </w:rPr>
      </w:pPr>
      <w:r w:rsidRPr="001F15EA">
        <w:rPr>
          <w:rFonts w:ascii="Segoe UI" w:hAnsi="Segoe UI" w:cs="Segoe UI"/>
          <w:sz w:val="17"/>
          <w:szCs w:val="17"/>
        </w:rPr>
        <w:t xml:space="preserve">Before conducting the financial analysis, we assessed the reliability of PKME’s earnings using the </w:t>
      </w:r>
      <w:proofErr w:type="spellStart"/>
      <w:r w:rsidRPr="001F15EA">
        <w:rPr>
          <w:rFonts w:ascii="Segoe UI" w:hAnsi="Segoe UI" w:cs="Segoe UI"/>
          <w:sz w:val="17"/>
          <w:szCs w:val="17"/>
        </w:rPr>
        <w:t>Beneish</w:t>
      </w:r>
      <w:proofErr w:type="spellEnd"/>
      <w:r w:rsidRPr="001F15EA">
        <w:rPr>
          <w:rFonts w:ascii="Segoe UI" w:hAnsi="Segoe UI" w:cs="Segoe UI"/>
          <w:sz w:val="17"/>
          <w:szCs w:val="17"/>
        </w:rPr>
        <w:t xml:space="preserve"> M-Score. Across FY23–FY25, scores remained below the manipulation threshold, averaging around –2.92, indicating unbiased and credible reporting. Supporting this, Z-Scores of 3.73 (FY24) and 4.22 (FY25) place PKME comfortably in the non-distress zone, reinforcing the strength and stability of its financial position</w:t>
      </w:r>
      <w:r>
        <w:rPr>
          <w:rFonts w:ascii="Segoe UI" w:hAnsi="Segoe UI" w:cs="Segoe UI"/>
          <w:sz w:val="17"/>
          <w:szCs w:val="17"/>
        </w:rPr>
        <w:t xml:space="preserve">. </w:t>
      </w:r>
      <w:hyperlink w:anchor="_Appendix_14:_Z-Score" w:history="1">
        <w:r w:rsidRPr="00B86249">
          <w:rPr>
            <w:rStyle w:val="Hyperlink"/>
            <w:rFonts w:ascii="Segoe UI" w:hAnsi="Segoe UI" w:cs="Segoe UI"/>
            <w:b/>
            <w:bCs/>
            <w:sz w:val="17"/>
            <w:szCs w:val="17"/>
          </w:rPr>
          <w:t>(Appendix 14)</w:t>
        </w:r>
      </w:hyperlink>
    </w:p>
    <w:p w14:paraId="2C6A0948" w14:textId="77777777" w:rsidR="00BB69A8" w:rsidRPr="005514D4" w:rsidRDefault="00BB69A8" w:rsidP="00BB69A8">
      <w:pPr>
        <w:spacing w:after="0" w:line="240" w:lineRule="auto"/>
        <w:jc w:val="both"/>
        <w:rPr>
          <w:rFonts w:ascii="Segoe UI" w:hAnsi="Segoe UI" w:cs="Segoe UI"/>
          <w:sz w:val="17"/>
          <w:szCs w:val="17"/>
        </w:rPr>
      </w:pPr>
      <w:r w:rsidRPr="00BA0473">
        <w:rPr>
          <w:rFonts w:ascii="Segoe UI" w:hAnsi="Segoe UI" w:cs="Segoe UI"/>
          <w:b/>
          <w:bCs/>
          <w:color w:val="000000" w:themeColor="text1"/>
          <w:kern w:val="0"/>
          <w:sz w:val="18"/>
          <w:szCs w:val="18"/>
          <w:lang w:val="en-GB"/>
        </w:rPr>
        <w:t>Technology Enabled Operating Leverage and Bottom-Line Growth.</w:t>
      </w:r>
    </w:p>
    <w:p w14:paraId="7AF2D789" w14:textId="25BAE6A6" w:rsidR="00BB69A8" w:rsidRPr="001F15EA" w:rsidRDefault="00BB69A8" w:rsidP="00BB69A8">
      <w:pPr>
        <w:spacing w:after="0" w:line="240" w:lineRule="auto"/>
        <w:jc w:val="both"/>
        <w:rPr>
          <w:rFonts w:ascii="Segoe UI" w:hAnsi="Segoe UI" w:cs="Segoe UI"/>
          <w:sz w:val="17"/>
          <w:szCs w:val="17"/>
        </w:rPr>
      </w:pPr>
      <w:r w:rsidRPr="001F15EA">
        <w:rPr>
          <w:rFonts w:ascii="Segoe UI" w:hAnsi="Segoe UI" w:cs="Segoe UI"/>
          <w:noProof/>
          <w:sz w:val="17"/>
          <w:szCs w:val="17"/>
        </w:rPr>
        <mc:AlternateContent>
          <mc:Choice Requires="wps">
            <w:drawing>
              <wp:anchor distT="0" distB="0" distL="114300" distR="114300" simplePos="0" relativeHeight="251661312" behindDoc="0" locked="0" layoutInCell="1" allowOverlap="1" wp14:anchorId="65717340" wp14:editId="0E2F4261">
                <wp:simplePos x="0" y="0"/>
                <wp:positionH relativeFrom="margin">
                  <wp:align>right</wp:align>
                </wp:positionH>
                <wp:positionV relativeFrom="paragraph">
                  <wp:posOffset>3913</wp:posOffset>
                </wp:positionV>
                <wp:extent cx="4808220" cy="0"/>
                <wp:effectExtent l="0" t="0" r="0" b="0"/>
                <wp:wrapNone/>
                <wp:docPr id="1249379801"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4D38D" id="Straight Connector 122"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7.4pt,.3pt" to="70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" strokecolor="#ffc000" strokeweight="1.5pt">
                <v:stroke joinstyle="miter"/>
                <w10:wrap anchorx="margin"/>
              </v:line>
            </w:pict>
          </mc:Fallback>
        </mc:AlternateContent>
      </w:r>
      <w:r w:rsidRPr="001F15EA">
        <w:rPr>
          <w:rFonts w:ascii="Segoe UI" w:hAnsi="Segoe UI" w:cs="Segoe UI"/>
          <w:sz w:val="17"/>
          <w:szCs w:val="17"/>
        </w:rPr>
        <w:t xml:space="preserve">Over a 10-year forecast horizon, platform movements are expected to grow at a </w:t>
      </w:r>
      <w:r w:rsidRPr="00895628">
        <w:rPr>
          <w:rFonts w:ascii="Segoe UI" w:hAnsi="Segoe UI" w:cs="Segoe UI"/>
          <w:sz w:val="17"/>
          <w:szCs w:val="17"/>
        </w:rPr>
        <w:t>31.9% CAGR through FY30E</w:t>
      </w:r>
      <w:r w:rsidRPr="001F15EA">
        <w:rPr>
          <w:rFonts w:ascii="Segoe UI" w:hAnsi="Segoe UI" w:cs="Segoe UI"/>
          <w:sz w:val="17"/>
          <w:szCs w:val="17"/>
        </w:rPr>
        <w:t xml:space="preserve">, followed by a moderated </w:t>
      </w:r>
      <w:r w:rsidRPr="00895628">
        <w:rPr>
          <w:rFonts w:ascii="Segoe UI" w:hAnsi="Segoe UI" w:cs="Segoe UI"/>
          <w:sz w:val="17"/>
          <w:szCs w:val="17"/>
        </w:rPr>
        <w:t>6.1% CAGR during FY30–FY35E</w:t>
      </w:r>
      <w:r w:rsidRPr="001F15EA">
        <w:rPr>
          <w:rFonts w:ascii="Segoe UI" w:hAnsi="Segoe UI" w:cs="Segoe UI"/>
          <w:sz w:val="17"/>
          <w:szCs w:val="17"/>
        </w:rPr>
        <w:t xml:space="preserve"> as the base scales. Unlike traditional asset-heavy businesses, this growth engine is not powered by physical factories with conventional cost structures such as fuel and maintenance. Instead, it is driven by a suite of </w:t>
      </w:r>
      <w:r w:rsidRPr="00895628">
        <w:rPr>
          <w:rFonts w:ascii="Segoe UI" w:hAnsi="Segoe UI" w:cs="Segoe UI"/>
          <w:sz w:val="17"/>
          <w:szCs w:val="17"/>
        </w:rPr>
        <w:t>digital infrastructure components</w:t>
      </w:r>
      <w:r w:rsidRPr="001F15EA">
        <w:rPr>
          <w:rFonts w:ascii="Segoe UI" w:hAnsi="Segoe UI" w:cs="Segoe UI"/>
          <w:sz w:val="17"/>
          <w:szCs w:val="17"/>
        </w:rPr>
        <w:t xml:space="preserve"> including API calls, computer cycles, data storage, and software licenses that together form a scalable platform ecosystem. Each of the 210+</w:t>
      </w:r>
      <w:r w:rsidRPr="00895628">
        <w:rPr>
          <w:rFonts w:ascii="Segoe UI" w:hAnsi="Segoe UI" w:cs="Segoe UI"/>
          <w:sz w:val="17"/>
          <w:szCs w:val="17"/>
        </w:rPr>
        <w:t>Mn annual movements by FY30E</w:t>
      </w:r>
      <w:r w:rsidRPr="001F15EA">
        <w:rPr>
          <w:rFonts w:ascii="Segoe UI" w:hAnsi="Segoe UI" w:cs="Segoe UI"/>
          <w:sz w:val="17"/>
          <w:szCs w:val="17"/>
        </w:rPr>
        <w:t xml:space="preserve"> spanning rides, deliveries, and ticket bookings, is effectively manufactured in real time through a complex technological workflow. A rider request initiates computing cycles on Google Cloud to execute proprietary matching algorithms; Google Maps APIs are invoked to calculate ETAs, distances, and routing; Twilio APIs enable SMS notifications and masked communications; and payment gateways are activated to process transactions upon completion. While these inputs are inherently variable in nature, </w:t>
      </w:r>
      <w:r w:rsidRPr="00895628">
        <w:rPr>
          <w:rFonts w:ascii="Segoe UI" w:hAnsi="Segoe UI" w:cs="Segoe UI"/>
          <w:sz w:val="17"/>
          <w:szCs w:val="17"/>
        </w:rPr>
        <w:t>PKME’s disciplined FinOps (Financial Operation) strategy has successfully converted variable technology expenses into semi-fixed costs</w:t>
      </w:r>
      <w:r w:rsidRPr="001F15EA">
        <w:rPr>
          <w:rFonts w:ascii="Segoe UI" w:hAnsi="Segoe UI" w:cs="Segoe UI"/>
          <w:sz w:val="17"/>
          <w:szCs w:val="17"/>
        </w:rPr>
        <w:t xml:space="preserve">. This has been achieved primarily through long-term strategic partnerships with Google Cloud, securing </w:t>
      </w:r>
      <w:r w:rsidRPr="00895628">
        <w:rPr>
          <w:rFonts w:ascii="Segoe UI" w:hAnsi="Segoe UI" w:cs="Segoe UI"/>
          <w:sz w:val="17"/>
          <w:szCs w:val="17"/>
        </w:rPr>
        <w:t>50.0%–77.0% committed-user-discounts on pay-as-you-go pricing model</w:t>
      </w:r>
      <w:r w:rsidRPr="001F15EA">
        <w:rPr>
          <w:rFonts w:ascii="Segoe UI" w:hAnsi="Segoe UI" w:cs="Segoe UI"/>
          <w:sz w:val="17"/>
          <w:szCs w:val="17"/>
        </w:rPr>
        <w:t xml:space="preserve">, materially lowering per-movement infrastructure costs at scale. As a result, gross margins are projected to expand to </w:t>
      </w:r>
      <w:r w:rsidRPr="00895628">
        <w:rPr>
          <w:rFonts w:ascii="Segoe UI" w:hAnsi="Segoe UI" w:cs="Segoe UI"/>
          <w:sz w:val="17"/>
          <w:szCs w:val="17"/>
        </w:rPr>
        <w:t>80.0% by FY30E</w:t>
      </w:r>
      <w:r w:rsidRPr="001F15EA">
        <w:rPr>
          <w:rFonts w:ascii="Segoe UI" w:hAnsi="Segoe UI" w:cs="Segoe UI"/>
          <w:sz w:val="17"/>
          <w:szCs w:val="17"/>
        </w:rPr>
        <w:t xml:space="preserve"> from </w:t>
      </w:r>
      <w:r w:rsidRPr="00895628">
        <w:rPr>
          <w:rFonts w:ascii="Segoe UI" w:hAnsi="Segoe UI" w:cs="Segoe UI"/>
          <w:sz w:val="17"/>
          <w:szCs w:val="17"/>
        </w:rPr>
        <w:t xml:space="preserve">70.5% in FY25 and </w:t>
      </w:r>
      <w:proofErr w:type="gramStart"/>
      <w:r w:rsidRPr="00895628">
        <w:rPr>
          <w:rFonts w:ascii="Segoe UI" w:hAnsi="Segoe UI" w:cs="Segoe UI"/>
          <w:sz w:val="17"/>
          <w:szCs w:val="17"/>
        </w:rPr>
        <w:t>stabilizes</w:t>
      </w:r>
      <w:proofErr w:type="gramEnd"/>
      <w:r w:rsidRPr="00895628">
        <w:rPr>
          <w:rFonts w:ascii="Segoe UI" w:hAnsi="Segoe UI" w:cs="Segoe UI"/>
          <w:sz w:val="17"/>
          <w:szCs w:val="17"/>
        </w:rPr>
        <w:t xml:space="preserve"> thereafter, which</w:t>
      </w:r>
      <w:r w:rsidRPr="001F15EA">
        <w:rPr>
          <w:sz w:val="17"/>
          <w:szCs w:val="17"/>
        </w:rPr>
        <w:t xml:space="preserve"> </w:t>
      </w:r>
      <w:r w:rsidRPr="00895628">
        <w:rPr>
          <w:rFonts w:ascii="Segoe UI" w:hAnsi="Segoe UI" w:cs="Segoe UI"/>
          <w:sz w:val="17"/>
          <w:szCs w:val="17"/>
        </w:rPr>
        <w:t>is significantly higher than the peer average of 47.5%</w:t>
      </w:r>
      <w:r w:rsidRPr="001F15EA">
        <w:rPr>
          <w:rFonts w:ascii="Segoe UI" w:hAnsi="Segoe UI" w:cs="Segoe UI"/>
          <w:sz w:val="17"/>
          <w:szCs w:val="17"/>
        </w:rPr>
        <w:t>. Furthermore, newer Experiences led verticals carry minimal incremental technology costs unlike rides and deliveries which relies on continuous Map API calls and real-time computations, allowing incremental revenues to flow largely to the bottom line, Traditional operating leverage occurs when a company can grow revenue while its fixed costs remain stable, leading to significant margin expansion. For PKME, this applies to its fixed cost base, such as the salaries for its 375 employees where around 200 employees are software engineers, which does not don’t increase with expansion. We expect the number of employees per 1,000 drivers and merchants to fall from 3.59x in FY25 to 2.50x by</w:t>
      </w:r>
      <w:r>
        <w:rPr>
          <w:rFonts w:ascii="Segoe UI" w:hAnsi="Segoe UI" w:cs="Segoe UI"/>
          <w:sz w:val="17"/>
          <w:szCs w:val="17"/>
        </w:rPr>
        <w:t xml:space="preserve"> FY30E, indicating</w:t>
      </w:r>
      <w:r w:rsidRPr="001F15EA">
        <w:rPr>
          <w:rFonts w:ascii="Segoe UI" w:hAnsi="Segoe UI" w:cs="Segoe UI"/>
          <w:sz w:val="17"/>
          <w:szCs w:val="17"/>
        </w:rPr>
        <w:t xml:space="preserve"> that the workforce grows more slowly than revenue</w:t>
      </w:r>
      <w:r>
        <w:rPr>
          <w:rFonts w:ascii="Segoe UI" w:hAnsi="Segoe UI" w:cs="Segoe UI"/>
          <w:sz w:val="17"/>
          <w:szCs w:val="17"/>
        </w:rPr>
        <w:t xml:space="preserve"> growth. Alongside</w:t>
      </w:r>
      <w:r w:rsidRPr="001F15EA">
        <w:rPr>
          <w:rFonts w:ascii="Segoe UI" w:hAnsi="Segoe UI" w:cs="Segoe UI"/>
          <w:sz w:val="17"/>
          <w:szCs w:val="17"/>
        </w:rPr>
        <w:t xml:space="preserve"> disciplined customer acquisition costs</w:t>
      </w:r>
      <w:r>
        <w:rPr>
          <w:rFonts w:ascii="Segoe UI" w:hAnsi="Segoe UI" w:cs="Segoe UI"/>
          <w:sz w:val="17"/>
          <w:szCs w:val="17"/>
        </w:rPr>
        <w:t xml:space="preserve"> that sustain </w:t>
      </w:r>
      <w:r w:rsidRPr="001F15EA">
        <w:rPr>
          <w:rFonts w:ascii="Segoe UI" w:hAnsi="Segoe UI" w:cs="Segoe UI"/>
          <w:sz w:val="17"/>
          <w:szCs w:val="17"/>
        </w:rPr>
        <w:t xml:space="preserve">a global benchmark of 3:1 LTV/CAC ratio, this creates a dual-state financial model </w:t>
      </w:r>
      <w:r>
        <w:rPr>
          <w:rFonts w:ascii="Segoe UI" w:hAnsi="Segoe UI" w:cs="Segoe UI"/>
          <w:sz w:val="17"/>
          <w:szCs w:val="17"/>
        </w:rPr>
        <w:t>in which PKME benefits from</w:t>
      </w:r>
      <w:r w:rsidRPr="001F15EA">
        <w:rPr>
          <w:rFonts w:ascii="Segoe UI" w:hAnsi="Segoe UI" w:cs="Segoe UI"/>
          <w:sz w:val="17"/>
          <w:szCs w:val="17"/>
        </w:rPr>
        <w:t xml:space="preserve"> high leverage on its fixed costs base</w:t>
      </w:r>
      <w:r>
        <w:rPr>
          <w:rFonts w:ascii="Segoe UI" w:hAnsi="Segoe UI" w:cs="Segoe UI"/>
          <w:sz w:val="17"/>
          <w:szCs w:val="17"/>
        </w:rPr>
        <w:t>, while</w:t>
      </w:r>
      <w:r w:rsidRPr="001F15EA">
        <w:rPr>
          <w:rFonts w:ascii="Segoe UI" w:hAnsi="Segoe UI" w:cs="Segoe UI"/>
          <w:sz w:val="17"/>
          <w:szCs w:val="17"/>
        </w:rPr>
        <w:t xml:space="preserve"> rigorous </w:t>
      </w:r>
      <w:r>
        <w:rPr>
          <w:rFonts w:ascii="Segoe UI" w:hAnsi="Segoe UI" w:cs="Segoe UI"/>
          <w:sz w:val="17"/>
          <w:szCs w:val="17"/>
        </w:rPr>
        <w:t>FinOps</w:t>
      </w:r>
      <w:r w:rsidRPr="001F15EA">
        <w:rPr>
          <w:rFonts w:ascii="Segoe UI" w:hAnsi="Segoe UI" w:cs="Segoe UI"/>
          <w:sz w:val="17"/>
          <w:szCs w:val="17"/>
        </w:rPr>
        <w:t xml:space="preserve"> strategies expand gross margins</w:t>
      </w:r>
      <w:r>
        <w:rPr>
          <w:rFonts w:ascii="Segoe UI" w:hAnsi="Segoe UI" w:cs="Segoe UI"/>
          <w:sz w:val="17"/>
          <w:szCs w:val="17"/>
        </w:rPr>
        <w:t>,</w:t>
      </w:r>
      <w:r w:rsidRPr="001F15EA">
        <w:rPr>
          <w:rFonts w:ascii="Segoe UI" w:hAnsi="Segoe UI" w:cs="Segoe UI"/>
          <w:sz w:val="17"/>
          <w:szCs w:val="17"/>
        </w:rPr>
        <w:t xml:space="preserve"> </w:t>
      </w:r>
      <w:r>
        <w:rPr>
          <w:rFonts w:ascii="Segoe UI" w:hAnsi="Segoe UI" w:cs="Segoe UI"/>
          <w:sz w:val="17"/>
          <w:szCs w:val="17"/>
        </w:rPr>
        <w:t>driving</w:t>
      </w:r>
      <w:r w:rsidRPr="001F15EA">
        <w:rPr>
          <w:rFonts w:ascii="Segoe UI" w:hAnsi="Segoe UI" w:cs="Segoe UI"/>
          <w:sz w:val="17"/>
          <w:szCs w:val="17"/>
        </w:rPr>
        <w:t xml:space="preserve"> a </w:t>
      </w:r>
      <w:r>
        <w:rPr>
          <w:rFonts w:ascii="Segoe UI" w:hAnsi="Segoe UI" w:cs="Segoe UI"/>
          <w:sz w:val="17"/>
          <w:szCs w:val="17"/>
        </w:rPr>
        <w:t>16.2%</w:t>
      </w:r>
      <w:r w:rsidRPr="001F15EA">
        <w:rPr>
          <w:rFonts w:ascii="Segoe UI" w:hAnsi="Segoe UI" w:cs="Segoe UI"/>
          <w:sz w:val="17"/>
          <w:szCs w:val="17"/>
        </w:rPr>
        <w:t xml:space="preserve"> EBITDA margin expansion over next </w:t>
      </w:r>
      <w:r>
        <w:rPr>
          <w:rFonts w:ascii="Segoe UI" w:hAnsi="Segoe UI" w:cs="Segoe UI"/>
          <w:sz w:val="17"/>
          <w:szCs w:val="17"/>
        </w:rPr>
        <w:t>five</w:t>
      </w:r>
      <w:r w:rsidRPr="001F15EA">
        <w:rPr>
          <w:rFonts w:ascii="Segoe UI" w:hAnsi="Segoe UI" w:cs="Segoe UI"/>
          <w:sz w:val="17"/>
          <w:szCs w:val="17"/>
        </w:rPr>
        <w:t xml:space="preserve"> years</w:t>
      </w:r>
      <w:bookmarkEnd w:id="0"/>
      <w:r>
        <w:rPr>
          <w:rFonts w:ascii="Segoe UI" w:hAnsi="Segoe UI" w:cs="Segoe UI"/>
          <w:sz w:val="17"/>
          <w:szCs w:val="17"/>
        </w:rPr>
        <w:t xml:space="preserve">. </w:t>
      </w:r>
      <w:r w:rsidRPr="005E2809">
        <w:rPr>
          <w:rFonts w:ascii="Segoe UI" w:hAnsi="Segoe UI" w:cs="Segoe UI"/>
          <w:b/>
          <w:bCs/>
          <w:noProof/>
          <w:color w:val="000000" w:themeColor="text1"/>
          <w:sz w:val="17"/>
          <w:szCs w:val="17"/>
        </w:rPr>
        <w:t>(</w:t>
      </w:r>
      <w:r w:rsidRPr="005E2809">
        <w:rPr>
          <w:rFonts w:ascii="Segoe UI" w:hAnsi="Segoe UI" w:cs="Segoe UI"/>
          <w:b/>
          <w:bCs/>
          <w:noProof/>
          <w:color w:val="000000" w:themeColor="text1"/>
          <w:sz w:val="17"/>
          <w:szCs w:val="17"/>
        </w:rPr>
        <w:fldChar w:fldCharType="begin"/>
      </w:r>
      <w:r w:rsidRPr="005E2809">
        <w:rPr>
          <w:rFonts w:ascii="Segoe UI" w:hAnsi="Segoe UI" w:cs="Segoe UI"/>
          <w:b/>
          <w:bCs/>
          <w:noProof/>
          <w:color w:val="000000" w:themeColor="text1"/>
          <w:sz w:val="17"/>
          <w:szCs w:val="17"/>
        </w:rPr>
        <w:instrText xml:space="preserve"> REF _Ref217008761 \h  \* MERGEFORMAT </w:instrText>
      </w:r>
      <w:r w:rsidRPr="005E2809">
        <w:rPr>
          <w:rFonts w:ascii="Segoe UI" w:hAnsi="Segoe UI" w:cs="Segoe UI"/>
          <w:b/>
          <w:bCs/>
          <w:noProof/>
          <w:color w:val="000000" w:themeColor="text1"/>
          <w:sz w:val="17"/>
          <w:szCs w:val="17"/>
        </w:rPr>
      </w:r>
      <w:r w:rsidRPr="005E2809">
        <w:rPr>
          <w:rFonts w:ascii="Segoe UI" w:hAnsi="Segoe UI" w:cs="Segoe UI"/>
          <w:b/>
          <w:bCs/>
          <w:noProof/>
          <w:color w:val="000000" w:themeColor="text1"/>
          <w:sz w:val="17"/>
          <w:szCs w:val="17"/>
        </w:rPr>
        <w:fldChar w:fldCharType="separate"/>
      </w:r>
      <w:r w:rsidRPr="005E2809">
        <w:rPr>
          <w:rFonts w:ascii="Segoe UI" w:hAnsi="Segoe UI" w:cs="Segoe UI"/>
          <w:b/>
          <w:bCs/>
          <w:sz w:val="17"/>
          <w:szCs w:val="17"/>
        </w:rPr>
        <w:t xml:space="preserve">Figure </w:t>
      </w:r>
      <w:r w:rsidRPr="005E2809">
        <w:rPr>
          <w:rFonts w:ascii="Segoe UI" w:hAnsi="Segoe UI" w:cs="Segoe UI"/>
          <w:b/>
          <w:bCs/>
          <w:noProof/>
          <w:sz w:val="17"/>
          <w:szCs w:val="17"/>
        </w:rPr>
        <w:t>32</w:t>
      </w:r>
      <w:r w:rsidRPr="005E2809">
        <w:rPr>
          <w:rFonts w:ascii="Segoe UI" w:hAnsi="Segoe UI" w:cs="Segoe UI"/>
          <w:b/>
          <w:bCs/>
          <w:noProof/>
          <w:color w:val="000000" w:themeColor="text1"/>
          <w:sz w:val="17"/>
          <w:szCs w:val="17"/>
        </w:rPr>
        <w:fldChar w:fldCharType="end"/>
      </w:r>
      <w:r w:rsidRPr="005E2809">
        <w:rPr>
          <w:rFonts w:ascii="Segoe UI" w:hAnsi="Segoe UI" w:cs="Segoe UI"/>
          <w:b/>
          <w:bCs/>
          <w:noProof/>
          <w:color w:val="000000" w:themeColor="text1"/>
          <w:sz w:val="17"/>
          <w:szCs w:val="17"/>
        </w:rPr>
        <w:t>)</w:t>
      </w:r>
    </w:p>
    <w:p w14:paraId="51438E71" w14:textId="77777777" w:rsidR="00BB69A8" w:rsidRPr="00BA0473" w:rsidRDefault="00BB69A8" w:rsidP="00BB69A8">
      <w:pPr>
        <w:spacing w:after="0" w:line="240" w:lineRule="auto"/>
        <w:rPr>
          <w:rFonts w:ascii="Segoe UI" w:hAnsi="Segoe UI" w:cs="Segoe UI"/>
          <w:b/>
          <w:bCs/>
          <w:sz w:val="18"/>
          <w:szCs w:val="18"/>
        </w:rPr>
      </w:pPr>
      <w:r w:rsidRPr="00BA0473">
        <w:rPr>
          <w:rFonts w:ascii="Segoe UI" w:eastAsia="Calibri" w:hAnsi="Segoe UI" w:cs="Segoe UI"/>
          <w:b/>
          <w:bCs/>
          <w:noProof/>
          <w:sz w:val="18"/>
          <w:szCs w:val="18"/>
        </w:rPr>
        <mc:AlternateContent>
          <mc:Choice Requires="wps">
            <w:drawing>
              <wp:anchor distT="0" distB="0" distL="114300" distR="114300" simplePos="0" relativeHeight="251662336" behindDoc="0" locked="0" layoutInCell="1" allowOverlap="1" wp14:anchorId="27CB6E27" wp14:editId="424DA409">
                <wp:simplePos x="0" y="0"/>
                <wp:positionH relativeFrom="margin">
                  <wp:align>right</wp:align>
                </wp:positionH>
                <wp:positionV relativeFrom="paragraph">
                  <wp:posOffset>158998</wp:posOffset>
                </wp:positionV>
                <wp:extent cx="4808220" cy="0"/>
                <wp:effectExtent l="0" t="0" r="0" b="0"/>
                <wp:wrapNone/>
                <wp:docPr id="1434488059"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5EB2A9" id="Straight Connector 122"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7.4pt,12.5pt" to="70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" strokecolor="#ffc000" strokeweight="1.5pt">
                <v:stroke joinstyle="miter"/>
                <w10:wrap anchorx="margin"/>
              </v:line>
            </w:pict>
          </mc:Fallback>
        </mc:AlternateContent>
      </w:r>
      <w:r w:rsidRPr="00BA0473">
        <w:rPr>
          <w:rFonts w:ascii="Segoe UI" w:hAnsi="Segoe UI" w:cs="Segoe UI"/>
          <w:b/>
          <w:bCs/>
          <w:sz w:val="18"/>
          <w:szCs w:val="18"/>
        </w:rPr>
        <w:t>Sustained Earnings Drive Consistent Shareholder Returns</w:t>
      </w:r>
    </w:p>
    <w:p w14:paraId="27BC5FA4" w14:textId="26F92DE0" w:rsidR="00BB69A8" w:rsidRPr="001F15EA" w:rsidRDefault="00BB69A8" w:rsidP="00BB69A8">
      <w:pPr>
        <w:spacing w:after="0" w:line="240" w:lineRule="auto"/>
        <w:jc w:val="both"/>
        <w:rPr>
          <w:rFonts w:ascii="Segoe UI" w:hAnsi="Segoe UI" w:cs="Segoe UI"/>
          <w:sz w:val="17"/>
          <w:szCs w:val="17"/>
        </w:rPr>
      </w:pPr>
      <w:r w:rsidRPr="001F15EA">
        <w:rPr>
          <w:rFonts w:ascii="Segoe UI" w:hAnsi="Segoe UI" w:cs="Segoe UI"/>
          <w:sz w:val="17"/>
          <w:szCs w:val="17"/>
        </w:rPr>
        <w:t xml:space="preserve">PKME’s robust margin expansion underpins a strong trajectory for both earnings and shareholder </w:t>
      </w:r>
      <w:proofErr w:type="gramStart"/>
      <w:r w:rsidRPr="001F15EA">
        <w:rPr>
          <w:rFonts w:ascii="Segoe UI" w:hAnsi="Segoe UI" w:cs="Segoe UI"/>
          <w:sz w:val="17"/>
          <w:szCs w:val="17"/>
        </w:rPr>
        <w:t>returns</w:t>
      </w:r>
      <w:proofErr w:type="gramEnd"/>
      <w:r w:rsidRPr="001F15EA">
        <w:rPr>
          <w:rFonts w:ascii="Segoe UI" w:hAnsi="Segoe UI" w:cs="Segoe UI"/>
          <w:sz w:val="17"/>
          <w:szCs w:val="17"/>
        </w:rPr>
        <w:t xml:space="preserve">. We forecast EBIT margins to expand from 28.9% to 39.7%, while net profit margins expand from 21.1% to 30.2%. This combination of margin improvement and disciplined cost management drives ROE growth from 56.7% to 71.4% by FY30E, reflecting both capital efficiency and the high scalability of the business model as shown in the </w:t>
      </w:r>
      <w:r>
        <w:rPr>
          <w:rFonts w:ascii="Segoe UI" w:hAnsi="Segoe UI" w:cs="Segoe UI"/>
          <w:sz w:val="17"/>
          <w:szCs w:val="17"/>
        </w:rPr>
        <w:t>D</w:t>
      </w:r>
      <w:r w:rsidRPr="001F15EA">
        <w:rPr>
          <w:rFonts w:ascii="Segoe UI" w:hAnsi="Segoe UI" w:cs="Segoe UI"/>
          <w:sz w:val="17"/>
          <w:szCs w:val="17"/>
        </w:rPr>
        <w:t>u</w:t>
      </w:r>
      <w:r>
        <w:rPr>
          <w:rFonts w:ascii="Segoe UI" w:hAnsi="Segoe UI" w:cs="Segoe UI"/>
          <w:sz w:val="17"/>
          <w:szCs w:val="17"/>
        </w:rPr>
        <w:t>P</w:t>
      </w:r>
      <w:r w:rsidRPr="001F15EA">
        <w:rPr>
          <w:rFonts w:ascii="Segoe UI" w:hAnsi="Segoe UI" w:cs="Segoe UI"/>
          <w:sz w:val="17"/>
          <w:szCs w:val="17"/>
        </w:rPr>
        <w:t>ont analysis</w:t>
      </w:r>
      <w:r>
        <w:rPr>
          <w:rFonts w:ascii="Segoe UI" w:hAnsi="Segoe UI" w:cs="Segoe UI"/>
          <w:sz w:val="17"/>
          <w:szCs w:val="17"/>
        </w:rPr>
        <w:t xml:space="preserve"> </w:t>
      </w:r>
      <w:r w:rsidRPr="00DD3CE7">
        <w:rPr>
          <w:rFonts w:ascii="Segoe UI" w:hAnsi="Segoe UI" w:cs="Segoe UI"/>
          <w:b/>
          <w:bCs/>
          <w:sz w:val="17"/>
          <w:szCs w:val="17"/>
        </w:rPr>
        <w:t>(</w:t>
      </w:r>
      <w:r w:rsidRPr="00DD3CE7">
        <w:rPr>
          <w:rFonts w:ascii="Segoe UI" w:hAnsi="Segoe UI" w:cs="Segoe UI"/>
          <w:b/>
          <w:bCs/>
          <w:sz w:val="17"/>
          <w:szCs w:val="17"/>
        </w:rPr>
        <w:fldChar w:fldCharType="begin"/>
      </w:r>
      <w:r w:rsidRPr="00DD3CE7">
        <w:rPr>
          <w:rFonts w:ascii="Segoe UI" w:hAnsi="Segoe UI" w:cs="Segoe UI"/>
          <w:b/>
          <w:bCs/>
          <w:sz w:val="17"/>
          <w:szCs w:val="17"/>
        </w:rPr>
        <w:instrText xml:space="preserve"> REF _Ref217015105 \h  \* MERGEFORMAT </w:instrText>
      </w:r>
      <w:r w:rsidRPr="00DD3CE7">
        <w:rPr>
          <w:rFonts w:ascii="Segoe UI" w:hAnsi="Segoe UI" w:cs="Segoe UI"/>
          <w:b/>
          <w:bCs/>
          <w:sz w:val="17"/>
          <w:szCs w:val="17"/>
        </w:rPr>
      </w:r>
      <w:r w:rsidRPr="00DD3CE7">
        <w:rPr>
          <w:rFonts w:ascii="Segoe UI" w:hAnsi="Segoe UI" w:cs="Segoe UI"/>
          <w:b/>
          <w:bCs/>
          <w:sz w:val="17"/>
          <w:szCs w:val="17"/>
        </w:rPr>
        <w:fldChar w:fldCharType="separate"/>
      </w:r>
      <w:r w:rsidRPr="00DD3CE7">
        <w:rPr>
          <w:rFonts w:ascii="Segoe UI" w:hAnsi="Segoe UI" w:cs="Segoe UI"/>
          <w:b/>
          <w:bCs/>
          <w:sz w:val="17"/>
          <w:szCs w:val="17"/>
        </w:rPr>
        <w:t xml:space="preserve">Figure </w:t>
      </w:r>
      <w:r w:rsidRPr="00DD3CE7">
        <w:rPr>
          <w:rFonts w:ascii="Segoe UI" w:hAnsi="Segoe UI" w:cs="Segoe UI"/>
          <w:b/>
          <w:bCs/>
          <w:noProof/>
          <w:sz w:val="17"/>
          <w:szCs w:val="17"/>
        </w:rPr>
        <w:t>33</w:t>
      </w:r>
      <w:r w:rsidRPr="00DD3CE7">
        <w:rPr>
          <w:rFonts w:ascii="Segoe UI" w:hAnsi="Segoe UI" w:cs="Segoe UI"/>
          <w:b/>
          <w:bCs/>
          <w:sz w:val="17"/>
          <w:szCs w:val="17"/>
        </w:rPr>
        <w:fldChar w:fldCharType="end"/>
      </w:r>
      <w:r w:rsidRPr="00DD3CE7">
        <w:rPr>
          <w:rFonts w:ascii="Segoe UI" w:hAnsi="Segoe UI" w:cs="Segoe UI"/>
          <w:b/>
          <w:bCs/>
          <w:sz w:val="17"/>
          <w:szCs w:val="17"/>
        </w:rPr>
        <w:t>).</w:t>
      </w:r>
      <w:r w:rsidRPr="001F15EA">
        <w:rPr>
          <w:rFonts w:ascii="Segoe UI" w:hAnsi="Segoe UI" w:cs="Segoe UI"/>
          <w:sz w:val="17"/>
          <w:szCs w:val="17"/>
        </w:rPr>
        <w:t xml:space="preserve"> Acceleratin</w:t>
      </w:r>
      <w:r>
        <w:rPr>
          <w:rFonts w:ascii="Segoe UI" w:hAnsi="Segoe UI" w:cs="Segoe UI"/>
          <w:sz w:val="17"/>
          <w:szCs w:val="17"/>
        </w:rPr>
        <w:t>g</w:t>
      </w:r>
      <w:r w:rsidRPr="001F15EA">
        <w:rPr>
          <w:rFonts w:ascii="Segoe UI" w:hAnsi="Segoe UI" w:cs="Segoe UI"/>
          <w:sz w:val="17"/>
          <w:szCs w:val="17"/>
        </w:rPr>
        <w:t xml:space="preserve"> net profits support EPS growth</w:t>
      </w:r>
      <w:r w:rsidRPr="00D17463">
        <w:rPr>
          <w:rFonts w:ascii="Segoe UI" w:hAnsi="Segoe UI" w:cs="Segoe UI"/>
          <w:color w:val="EE0000"/>
          <w:sz w:val="17"/>
          <w:szCs w:val="17"/>
        </w:rPr>
        <w:t xml:space="preserve">, which rises 5.53x to reach </w:t>
      </w:r>
      <w:r w:rsidRPr="001F15EA">
        <w:rPr>
          <w:rFonts w:ascii="Segoe UI" w:hAnsi="Segoe UI" w:cs="Segoe UI"/>
          <w:sz w:val="17"/>
          <w:szCs w:val="17"/>
        </w:rPr>
        <w:t xml:space="preserve">LKR 19.30 by FY30E. Incremental Capex as a percentage of revenue has already declined from 11.2% in FY24 to 6.3% in </w:t>
      </w:r>
      <w:proofErr w:type="gramStart"/>
      <w:r w:rsidRPr="001F15EA">
        <w:rPr>
          <w:rFonts w:ascii="Segoe UI" w:hAnsi="Segoe UI" w:cs="Segoe UI"/>
          <w:sz w:val="17"/>
          <w:szCs w:val="17"/>
        </w:rPr>
        <w:t>FY25, and</w:t>
      </w:r>
      <w:proofErr w:type="gramEnd"/>
      <w:r w:rsidRPr="001F15EA">
        <w:rPr>
          <w:rFonts w:ascii="Segoe UI" w:hAnsi="Segoe UI" w:cs="Segoe UI"/>
          <w:sz w:val="17"/>
          <w:szCs w:val="17"/>
        </w:rPr>
        <w:t xml:space="preserve"> is forecasted to further decline to 2.5% still above established peers, which spend below 1.0%. As the platform matures, network effects and platform stickiness are expected to drive growth while lowering incremental </w:t>
      </w:r>
      <w:r>
        <w:rPr>
          <w:rFonts w:ascii="Segoe UI" w:hAnsi="Segoe UI" w:cs="Segoe UI"/>
          <w:sz w:val="17"/>
          <w:szCs w:val="17"/>
        </w:rPr>
        <w:t>c</w:t>
      </w:r>
      <w:r w:rsidRPr="001F15EA">
        <w:rPr>
          <w:rFonts w:ascii="Segoe UI" w:hAnsi="Segoe UI" w:cs="Segoe UI"/>
          <w:sz w:val="17"/>
          <w:szCs w:val="17"/>
        </w:rPr>
        <w:t>ap</w:t>
      </w:r>
      <w:r>
        <w:rPr>
          <w:rFonts w:ascii="Segoe UI" w:hAnsi="Segoe UI" w:cs="Segoe UI"/>
          <w:sz w:val="17"/>
          <w:szCs w:val="17"/>
        </w:rPr>
        <w:t>e</w:t>
      </w:r>
      <w:r w:rsidRPr="001F15EA">
        <w:rPr>
          <w:rFonts w:ascii="Segoe UI" w:hAnsi="Segoe UI" w:cs="Segoe UI"/>
          <w:sz w:val="17"/>
          <w:szCs w:val="17"/>
        </w:rPr>
        <w:t>x is supporting the FCFF growth at 79.2% CAGR through FY30E which is 18.47x folds increment from LKR 306</w:t>
      </w:r>
      <w:r>
        <w:rPr>
          <w:rFonts w:ascii="Segoe UI" w:hAnsi="Segoe UI" w:cs="Segoe UI"/>
          <w:sz w:val="17"/>
          <w:szCs w:val="17"/>
        </w:rPr>
        <w:t>.14M</w:t>
      </w:r>
      <w:r w:rsidRPr="001F15EA">
        <w:rPr>
          <w:rFonts w:ascii="Segoe UI" w:hAnsi="Segoe UI" w:cs="Segoe UI"/>
          <w:sz w:val="17"/>
          <w:szCs w:val="17"/>
        </w:rPr>
        <w:t>n in FY25, enabling PKME to sustain a 60</w:t>
      </w:r>
      <w:r>
        <w:rPr>
          <w:rFonts w:ascii="Segoe UI" w:hAnsi="Segoe UI" w:cs="Segoe UI"/>
          <w:sz w:val="17"/>
          <w:szCs w:val="17"/>
        </w:rPr>
        <w:t>.0</w:t>
      </w:r>
      <w:r w:rsidRPr="001F15EA">
        <w:rPr>
          <w:rFonts w:ascii="Segoe UI" w:hAnsi="Segoe UI" w:cs="Segoe UI"/>
          <w:sz w:val="17"/>
          <w:szCs w:val="17"/>
        </w:rPr>
        <w:t>% dividend payout. This ensures that operational efficiency and profitability are directly translated into superior shareholder returns. At the same time, ROA is projected to rise from 35.9% to 47.3%</w:t>
      </w:r>
      <w:r>
        <w:rPr>
          <w:rFonts w:ascii="Segoe UI" w:hAnsi="Segoe UI" w:cs="Segoe UI"/>
          <w:sz w:val="17"/>
          <w:szCs w:val="17"/>
        </w:rPr>
        <w:t xml:space="preserve"> </w:t>
      </w:r>
      <w:r w:rsidRPr="005A17AE">
        <w:rPr>
          <w:rFonts w:ascii="Segoe UI" w:hAnsi="Segoe UI" w:cs="Segoe UI"/>
          <w:b/>
          <w:bCs/>
          <w:sz w:val="17"/>
          <w:szCs w:val="17"/>
        </w:rPr>
        <w:t>(</w:t>
      </w:r>
      <w:r w:rsidRPr="005A17AE">
        <w:rPr>
          <w:rFonts w:ascii="Segoe UI" w:hAnsi="Segoe UI" w:cs="Segoe UI"/>
          <w:b/>
          <w:bCs/>
          <w:sz w:val="17"/>
          <w:szCs w:val="17"/>
        </w:rPr>
        <w:fldChar w:fldCharType="begin"/>
      </w:r>
      <w:r w:rsidRPr="005A17AE">
        <w:rPr>
          <w:rFonts w:ascii="Segoe UI" w:hAnsi="Segoe UI" w:cs="Segoe UI"/>
          <w:b/>
          <w:bCs/>
          <w:sz w:val="17"/>
          <w:szCs w:val="17"/>
        </w:rPr>
        <w:instrText xml:space="preserve"> REF _Ref217015410 \h  \* MERGEFORMAT </w:instrText>
      </w:r>
      <w:r w:rsidRPr="005A17AE">
        <w:rPr>
          <w:rFonts w:ascii="Segoe UI" w:hAnsi="Segoe UI" w:cs="Segoe UI"/>
          <w:b/>
          <w:bCs/>
          <w:sz w:val="17"/>
          <w:szCs w:val="17"/>
        </w:rPr>
      </w:r>
      <w:r w:rsidRPr="005A17AE">
        <w:rPr>
          <w:rFonts w:ascii="Segoe UI" w:hAnsi="Segoe UI" w:cs="Segoe UI"/>
          <w:b/>
          <w:bCs/>
          <w:sz w:val="17"/>
          <w:szCs w:val="17"/>
        </w:rPr>
        <w:fldChar w:fldCharType="separate"/>
      </w:r>
      <w:r w:rsidRPr="005A17AE">
        <w:rPr>
          <w:rFonts w:ascii="Segoe UI" w:hAnsi="Segoe UI" w:cs="Segoe UI"/>
          <w:b/>
          <w:bCs/>
          <w:sz w:val="17"/>
          <w:szCs w:val="17"/>
        </w:rPr>
        <w:t xml:space="preserve">Figure </w:t>
      </w:r>
      <w:r w:rsidRPr="005A17AE">
        <w:rPr>
          <w:rFonts w:ascii="Segoe UI" w:hAnsi="Segoe UI" w:cs="Segoe UI"/>
          <w:b/>
          <w:bCs/>
          <w:noProof/>
          <w:sz w:val="17"/>
          <w:szCs w:val="17"/>
        </w:rPr>
        <w:t>34</w:t>
      </w:r>
      <w:r w:rsidRPr="005A17AE">
        <w:rPr>
          <w:rFonts w:ascii="Segoe UI" w:hAnsi="Segoe UI" w:cs="Segoe UI"/>
          <w:b/>
          <w:bCs/>
          <w:sz w:val="17"/>
          <w:szCs w:val="17"/>
        </w:rPr>
        <w:fldChar w:fldCharType="end"/>
      </w:r>
      <w:r w:rsidRPr="005A17AE">
        <w:rPr>
          <w:rFonts w:ascii="Segoe UI" w:hAnsi="Segoe UI" w:cs="Segoe UI"/>
          <w:b/>
          <w:bCs/>
          <w:sz w:val="17"/>
          <w:szCs w:val="17"/>
        </w:rPr>
        <w:t>),</w:t>
      </w:r>
      <w:r w:rsidRPr="001F15EA">
        <w:rPr>
          <w:rFonts w:ascii="Segoe UI" w:hAnsi="Segoe UI" w:cs="Segoe UI"/>
          <w:sz w:val="17"/>
          <w:szCs w:val="17"/>
        </w:rPr>
        <w:t xml:space="preserve"> highlighting the effective utilization of assets and reinforcing the quality and sustainability of the company’s financial performance.</w:t>
      </w:r>
      <w:r w:rsidRPr="00137D6B">
        <w:rPr>
          <w:rFonts w:ascii="Segoe UI" w:eastAsia="Yu Mincho Light" w:hAnsi="Segoe UI" w:cs="Segoe UI"/>
          <w:noProof/>
          <w:sz w:val="17"/>
          <w:szCs w:val="17"/>
        </w:rPr>
        <w:t xml:space="preserve"> </w:t>
      </w:r>
    </w:p>
    <w:p w14:paraId="00ADE136" w14:textId="77777777" w:rsidR="00BB69A8" w:rsidRPr="00BA0473" w:rsidRDefault="00BB69A8" w:rsidP="00BB69A8">
      <w:pPr>
        <w:spacing w:line="240" w:lineRule="auto"/>
        <w:rPr>
          <w:rFonts w:ascii="Segoe UI" w:hAnsi="Segoe UI" w:cs="Segoe UI"/>
          <w:b/>
          <w:bCs/>
          <w:sz w:val="18"/>
          <w:szCs w:val="18"/>
        </w:rPr>
      </w:pPr>
      <w:r w:rsidRPr="00BA0473">
        <w:rPr>
          <w:rFonts w:ascii="Segoe UI" w:eastAsia="Calibri" w:hAnsi="Segoe UI" w:cs="Segoe UI"/>
          <w:b/>
          <w:bCs/>
          <w:noProof/>
          <w:sz w:val="18"/>
          <w:szCs w:val="18"/>
        </w:rPr>
        <mc:AlternateContent>
          <mc:Choice Requires="wps">
            <w:drawing>
              <wp:anchor distT="0" distB="0" distL="114300" distR="114300" simplePos="0" relativeHeight="251663360" behindDoc="0" locked="0" layoutInCell="1" allowOverlap="1" wp14:anchorId="7CD21CD0" wp14:editId="23A84842">
                <wp:simplePos x="0" y="0"/>
                <wp:positionH relativeFrom="margin">
                  <wp:align>left</wp:align>
                </wp:positionH>
                <wp:positionV relativeFrom="paragraph">
                  <wp:posOffset>182134</wp:posOffset>
                </wp:positionV>
                <wp:extent cx="4808220" cy="0"/>
                <wp:effectExtent l="0" t="0" r="0" b="0"/>
                <wp:wrapNone/>
                <wp:docPr id="900245820"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468800" id="Straight Connector 122"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5pt" to="378.6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" strokecolor="#ffc000" strokeweight="1.5pt">
                <v:stroke joinstyle="miter"/>
                <w10:wrap anchorx="margin"/>
              </v:line>
            </w:pict>
          </mc:Fallback>
        </mc:AlternateContent>
      </w:r>
      <w:r w:rsidRPr="00BA0473">
        <w:rPr>
          <w:rFonts w:ascii="Segoe UI" w:hAnsi="Segoe UI" w:cs="Segoe UI"/>
          <w:b/>
          <w:bCs/>
          <w:sz w:val="18"/>
          <w:szCs w:val="18"/>
        </w:rPr>
        <w:t>Leveraging Stability for Steady Expansion.</w:t>
      </w:r>
      <w:r w:rsidRPr="00204EC1">
        <w:rPr>
          <w:rFonts w:ascii="Segoe UI" w:hAnsi="Segoe UI" w:cs="Segoe UI"/>
          <w:noProof/>
          <w:sz w:val="17"/>
          <w:szCs w:val="17"/>
        </w:rPr>
        <w:t xml:space="preserve"> </w:t>
      </w:r>
    </w:p>
    <w:p w14:paraId="29A584CC" w14:textId="4061C377" w:rsidR="00BB69A8" w:rsidRPr="001F15EA" w:rsidRDefault="00BB69A8" w:rsidP="00BB69A8">
      <w:pPr>
        <w:spacing w:after="0" w:line="240" w:lineRule="auto"/>
        <w:jc w:val="both"/>
        <w:rPr>
          <w:rFonts w:ascii="Segoe UI" w:hAnsi="Segoe UI" w:cs="Segoe UI"/>
          <w:sz w:val="17"/>
          <w:szCs w:val="17"/>
        </w:rPr>
      </w:pPr>
      <w:r w:rsidRPr="001F15EA">
        <w:rPr>
          <w:rFonts w:ascii="Segoe UI" w:hAnsi="Segoe UI" w:cs="Segoe UI"/>
          <w:sz w:val="17"/>
          <w:szCs w:val="17"/>
        </w:rPr>
        <w:t xml:space="preserve">PKME strengthens its financial foundation through conservative leverage and rising liquidity, creating room for both strategic expansion and shareholder </w:t>
      </w:r>
      <w:proofErr w:type="gramStart"/>
      <w:r w:rsidRPr="001F15EA">
        <w:rPr>
          <w:rFonts w:ascii="Segoe UI" w:hAnsi="Segoe UI" w:cs="Segoe UI"/>
          <w:sz w:val="17"/>
          <w:szCs w:val="17"/>
        </w:rPr>
        <w:t>returns</w:t>
      </w:r>
      <w:proofErr w:type="gramEnd"/>
      <w:r w:rsidRPr="001F15EA">
        <w:rPr>
          <w:rFonts w:ascii="Segoe UI" w:hAnsi="Segoe UI" w:cs="Segoe UI"/>
          <w:sz w:val="17"/>
          <w:szCs w:val="17"/>
        </w:rPr>
        <w:t>. The company enters its planned transition toward an 80</w:t>
      </w:r>
      <w:r>
        <w:rPr>
          <w:rFonts w:ascii="Segoe UI" w:hAnsi="Segoe UI" w:cs="Segoe UI"/>
          <w:sz w:val="17"/>
          <w:szCs w:val="17"/>
        </w:rPr>
        <w:t>.0</w:t>
      </w:r>
      <w:r w:rsidRPr="001F15EA">
        <w:rPr>
          <w:rFonts w:ascii="Segoe UI" w:hAnsi="Segoe UI" w:cs="Segoe UI"/>
          <w:sz w:val="17"/>
          <w:szCs w:val="17"/>
        </w:rPr>
        <w:t>:20</w:t>
      </w:r>
      <w:r>
        <w:rPr>
          <w:rFonts w:ascii="Segoe UI" w:hAnsi="Segoe UI" w:cs="Segoe UI"/>
          <w:sz w:val="17"/>
          <w:szCs w:val="17"/>
        </w:rPr>
        <w:t>.0%</w:t>
      </w:r>
      <w:r w:rsidRPr="001F15EA">
        <w:rPr>
          <w:rFonts w:ascii="Segoe UI" w:hAnsi="Segoe UI" w:cs="Segoe UI"/>
          <w:sz w:val="17"/>
          <w:szCs w:val="17"/>
        </w:rPr>
        <w:t xml:space="preserve"> equity debt capital structure from a position of balance sheet strength, only LKR 481</w:t>
      </w:r>
      <w:r>
        <w:rPr>
          <w:rFonts w:ascii="Segoe UI" w:hAnsi="Segoe UI" w:cs="Segoe UI"/>
          <w:sz w:val="17"/>
          <w:szCs w:val="17"/>
        </w:rPr>
        <w:t>.77M</w:t>
      </w:r>
      <w:r w:rsidRPr="001F15EA">
        <w:rPr>
          <w:rFonts w:ascii="Segoe UI" w:hAnsi="Segoe UI" w:cs="Segoe UI"/>
          <w:sz w:val="17"/>
          <w:szCs w:val="17"/>
        </w:rPr>
        <w:t>n in lease liabilities which are PV of future rent payments against LKR 2.</w:t>
      </w:r>
      <w:r>
        <w:rPr>
          <w:rFonts w:ascii="Segoe UI" w:hAnsi="Segoe UI" w:cs="Segoe UI"/>
          <w:sz w:val="17"/>
          <w:szCs w:val="17"/>
        </w:rPr>
        <w:t>59</w:t>
      </w:r>
      <w:r w:rsidRPr="001F15EA">
        <w:rPr>
          <w:rFonts w:ascii="Segoe UI" w:hAnsi="Segoe UI" w:cs="Segoe UI"/>
          <w:sz w:val="17"/>
          <w:szCs w:val="17"/>
        </w:rPr>
        <w:t>bn in equity. We expect modest debt introduction from FY26E, with debt-to-assets stabilizing around 14</w:t>
      </w:r>
      <w:r>
        <w:rPr>
          <w:rFonts w:ascii="Segoe UI" w:hAnsi="Segoe UI" w:cs="Segoe UI"/>
          <w:sz w:val="17"/>
          <w:szCs w:val="17"/>
        </w:rPr>
        <w:t>.0</w:t>
      </w:r>
      <w:r w:rsidRPr="001F15EA">
        <w:rPr>
          <w:rFonts w:ascii="Segoe UI" w:hAnsi="Segoe UI" w:cs="Segoe UI"/>
          <w:sz w:val="17"/>
          <w:szCs w:val="17"/>
        </w:rPr>
        <w:t>–15</w:t>
      </w:r>
      <w:r>
        <w:rPr>
          <w:rFonts w:ascii="Segoe UI" w:hAnsi="Segoe UI" w:cs="Segoe UI"/>
          <w:sz w:val="17"/>
          <w:szCs w:val="17"/>
        </w:rPr>
        <w:t>.0</w:t>
      </w:r>
      <w:r w:rsidRPr="001F15EA">
        <w:rPr>
          <w:rFonts w:ascii="Segoe UI" w:hAnsi="Segoe UI" w:cs="Segoe UI"/>
          <w:sz w:val="17"/>
          <w:szCs w:val="17"/>
        </w:rPr>
        <w:t>% and debt-to-equity peaking near 23</w:t>
      </w:r>
      <w:r>
        <w:rPr>
          <w:rFonts w:ascii="Segoe UI" w:hAnsi="Segoe UI" w:cs="Segoe UI"/>
          <w:sz w:val="17"/>
          <w:szCs w:val="17"/>
        </w:rPr>
        <w:t>.1</w:t>
      </w:r>
      <w:r w:rsidRPr="001F15EA">
        <w:rPr>
          <w:rFonts w:ascii="Segoe UI" w:hAnsi="Segoe UI" w:cs="Segoe UI"/>
          <w:sz w:val="17"/>
          <w:szCs w:val="17"/>
        </w:rPr>
        <w:t>% before easing to 21.5% by FY30E, supported by a four-fold expansion in equity to LKR 10.</w:t>
      </w:r>
      <w:r>
        <w:rPr>
          <w:rFonts w:ascii="Segoe UI" w:hAnsi="Segoe UI" w:cs="Segoe UI"/>
          <w:sz w:val="17"/>
          <w:szCs w:val="17"/>
        </w:rPr>
        <w:t>29B</w:t>
      </w:r>
      <w:r w:rsidRPr="001F15EA">
        <w:rPr>
          <w:rFonts w:ascii="Segoe UI" w:hAnsi="Segoe UI" w:cs="Segoe UI"/>
          <w:sz w:val="17"/>
          <w:szCs w:val="17"/>
        </w:rPr>
        <w:t>n. Strong debt-servicing capacity, reflected in interest coverage improving from  40.</w:t>
      </w:r>
      <w:r>
        <w:rPr>
          <w:rFonts w:ascii="Segoe UI" w:hAnsi="Segoe UI" w:cs="Segoe UI"/>
          <w:sz w:val="17"/>
          <w:szCs w:val="17"/>
        </w:rPr>
        <w:t>55</w:t>
      </w:r>
      <w:r w:rsidRPr="001F15EA">
        <w:rPr>
          <w:rFonts w:ascii="Segoe UI" w:hAnsi="Segoe UI" w:cs="Segoe UI"/>
          <w:sz w:val="17"/>
          <w:szCs w:val="17"/>
        </w:rPr>
        <w:t>x to 77.</w:t>
      </w:r>
      <w:r>
        <w:rPr>
          <w:rFonts w:ascii="Segoe UI" w:hAnsi="Segoe UI" w:cs="Segoe UI"/>
          <w:sz w:val="17"/>
          <w:szCs w:val="17"/>
        </w:rPr>
        <w:t>79</w:t>
      </w:r>
      <w:r w:rsidRPr="001F15EA">
        <w:rPr>
          <w:rFonts w:ascii="Segoe UI" w:hAnsi="Segoe UI" w:cs="Segoe UI"/>
          <w:sz w:val="17"/>
          <w:szCs w:val="17"/>
        </w:rPr>
        <w:t>x</w:t>
      </w:r>
      <w:r w:rsidRPr="006607C8">
        <w:rPr>
          <w:rFonts w:ascii="Segoe UI" w:hAnsi="Segoe UI" w:cs="Segoe UI"/>
          <w:b/>
          <w:bCs/>
          <w:noProof/>
          <w:sz w:val="17"/>
          <w:szCs w:val="17"/>
        </w:rPr>
        <w:t>(</w:t>
      </w:r>
      <w:r w:rsidRPr="006607C8">
        <w:rPr>
          <w:rFonts w:ascii="Segoe UI" w:hAnsi="Segoe UI" w:cs="Segoe UI"/>
          <w:b/>
          <w:bCs/>
          <w:noProof/>
          <w:sz w:val="17"/>
          <w:szCs w:val="17"/>
        </w:rPr>
        <w:fldChar w:fldCharType="begin"/>
      </w:r>
      <w:r w:rsidRPr="006607C8">
        <w:rPr>
          <w:rFonts w:ascii="Segoe UI" w:hAnsi="Segoe UI" w:cs="Segoe UI"/>
          <w:b/>
          <w:bCs/>
          <w:noProof/>
          <w:sz w:val="17"/>
          <w:szCs w:val="17"/>
        </w:rPr>
        <w:instrText xml:space="preserve"> REF _Ref217015253 \h  \* MERGEFORMAT </w:instrText>
      </w:r>
      <w:r w:rsidRPr="006607C8">
        <w:rPr>
          <w:rFonts w:ascii="Segoe UI" w:hAnsi="Segoe UI" w:cs="Segoe UI"/>
          <w:b/>
          <w:bCs/>
          <w:noProof/>
          <w:sz w:val="17"/>
          <w:szCs w:val="17"/>
        </w:rPr>
      </w:r>
      <w:r w:rsidRPr="006607C8">
        <w:rPr>
          <w:rFonts w:ascii="Segoe UI" w:hAnsi="Segoe UI" w:cs="Segoe UI"/>
          <w:b/>
          <w:bCs/>
          <w:noProof/>
          <w:sz w:val="17"/>
          <w:szCs w:val="17"/>
        </w:rPr>
        <w:fldChar w:fldCharType="separate"/>
      </w:r>
      <w:r w:rsidRPr="006607C8">
        <w:rPr>
          <w:rFonts w:ascii="Segoe UI" w:hAnsi="Segoe UI" w:cs="Segoe UI"/>
          <w:b/>
          <w:bCs/>
          <w:sz w:val="17"/>
          <w:szCs w:val="17"/>
        </w:rPr>
        <w:t xml:space="preserve">Figure </w:t>
      </w:r>
      <w:r w:rsidRPr="006607C8">
        <w:rPr>
          <w:rFonts w:ascii="Segoe UI" w:hAnsi="Segoe UI" w:cs="Segoe UI"/>
          <w:b/>
          <w:bCs/>
          <w:noProof/>
          <w:sz w:val="17"/>
          <w:szCs w:val="17"/>
        </w:rPr>
        <w:t>35</w:t>
      </w:r>
      <w:r w:rsidRPr="006607C8">
        <w:rPr>
          <w:rFonts w:ascii="Segoe UI" w:hAnsi="Segoe UI" w:cs="Segoe UI"/>
          <w:b/>
          <w:bCs/>
          <w:noProof/>
          <w:sz w:val="17"/>
          <w:szCs w:val="17"/>
        </w:rPr>
        <w:fldChar w:fldCharType="end"/>
      </w:r>
      <w:r>
        <w:rPr>
          <w:rFonts w:ascii="Segoe UI" w:hAnsi="Segoe UI" w:cs="Segoe UI"/>
          <w:b/>
          <w:bCs/>
          <w:noProof/>
          <w:sz w:val="17"/>
          <w:szCs w:val="17"/>
        </w:rPr>
        <w:t>)</w:t>
      </w:r>
      <w:r w:rsidRPr="001F15EA">
        <w:rPr>
          <w:rFonts w:ascii="Segoe UI" w:hAnsi="Segoe UI" w:cs="Segoe UI"/>
          <w:sz w:val="17"/>
          <w:szCs w:val="17"/>
        </w:rPr>
        <w:t>, and an Altman Z-score of 4.22, ensures PKME maintains solvency even under adverse scenarios, protecting downside risk and preserving strategic flexibility. This robust solvency profile complements a strengthening liquidity position. We project the current ratio to increase from 2.1</w:t>
      </w:r>
      <w:r>
        <w:rPr>
          <w:rFonts w:ascii="Segoe UI" w:hAnsi="Segoe UI" w:cs="Segoe UI"/>
          <w:sz w:val="17"/>
          <w:szCs w:val="17"/>
        </w:rPr>
        <w:t>3</w:t>
      </w:r>
      <w:r w:rsidRPr="001F15EA">
        <w:rPr>
          <w:rFonts w:ascii="Segoe UI" w:hAnsi="Segoe UI" w:cs="Segoe UI"/>
          <w:sz w:val="17"/>
          <w:szCs w:val="17"/>
        </w:rPr>
        <w:t>x to 3.</w:t>
      </w:r>
      <w:r>
        <w:rPr>
          <w:rFonts w:ascii="Segoe UI" w:hAnsi="Segoe UI" w:cs="Segoe UI"/>
          <w:sz w:val="17"/>
          <w:szCs w:val="17"/>
        </w:rPr>
        <w:t>68</w:t>
      </w:r>
      <w:r w:rsidRPr="001F15EA">
        <w:rPr>
          <w:rFonts w:ascii="Segoe UI" w:hAnsi="Segoe UI" w:cs="Segoe UI"/>
          <w:sz w:val="17"/>
          <w:szCs w:val="17"/>
        </w:rPr>
        <w:t xml:space="preserve">x and the cash ratio from </w:t>
      </w:r>
      <w:r>
        <w:rPr>
          <w:rFonts w:ascii="Segoe UI" w:hAnsi="Segoe UI" w:cs="Segoe UI"/>
          <w:sz w:val="17"/>
          <w:szCs w:val="17"/>
        </w:rPr>
        <w:t>0.99</w:t>
      </w:r>
      <w:r w:rsidRPr="001F15EA">
        <w:rPr>
          <w:rFonts w:ascii="Segoe UI" w:hAnsi="Segoe UI" w:cs="Segoe UI"/>
          <w:sz w:val="17"/>
          <w:szCs w:val="17"/>
        </w:rPr>
        <w:t>x to 1.</w:t>
      </w:r>
      <w:r>
        <w:rPr>
          <w:rFonts w:ascii="Segoe UI" w:hAnsi="Segoe UI" w:cs="Segoe UI"/>
          <w:sz w:val="17"/>
          <w:szCs w:val="17"/>
        </w:rPr>
        <w:t>35</w:t>
      </w:r>
      <w:r w:rsidRPr="001F15EA">
        <w:rPr>
          <w:rFonts w:ascii="Segoe UI" w:hAnsi="Segoe UI" w:cs="Segoe UI"/>
          <w:sz w:val="17"/>
          <w:szCs w:val="17"/>
        </w:rPr>
        <w:t>x through FY30E, providing a comfortable buffer relative to peers. Operating efficiency improvements, including receivable turnover rising from 13.</w:t>
      </w:r>
      <w:r>
        <w:rPr>
          <w:rFonts w:ascii="Segoe UI" w:hAnsi="Segoe UI" w:cs="Segoe UI"/>
          <w:sz w:val="17"/>
          <w:szCs w:val="17"/>
        </w:rPr>
        <w:t>26</w:t>
      </w:r>
      <w:r w:rsidRPr="001F15EA">
        <w:rPr>
          <w:rFonts w:ascii="Segoe UI" w:hAnsi="Segoe UI" w:cs="Segoe UI"/>
          <w:sz w:val="17"/>
          <w:szCs w:val="17"/>
        </w:rPr>
        <w:t>x to 19.</w:t>
      </w:r>
      <w:r>
        <w:rPr>
          <w:rFonts w:ascii="Segoe UI" w:hAnsi="Segoe UI" w:cs="Segoe UI"/>
          <w:sz w:val="17"/>
          <w:szCs w:val="17"/>
        </w:rPr>
        <w:t>39</w:t>
      </w:r>
      <w:r w:rsidRPr="001F15EA">
        <w:rPr>
          <w:rFonts w:ascii="Segoe UI" w:hAnsi="Segoe UI" w:cs="Segoe UI"/>
          <w:sz w:val="17"/>
          <w:szCs w:val="17"/>
        </w:rPr>
        <w:t>x, accelerate the cash conversion cycle. Rising operating cash flows, growing at a 3</w:t>
      </w:r>
      <w:r>
        <w:rPr>
          <w:rFonts w:ascii="Segoe UI" w:hAnsi="Segoe UI" w:cs="Segoe UI"/>
          <w:sz w:val="17"/>
          <w:szCs w:val="17"/>
        </w:rPr>
        <w:t>8.0</w:t>
      </w:r>
      <w:r w:rsidRPr="001F15EA">
        <w:rPr>
          <w:rFonts w:ascii="Segoe UI" w:hAnsi="Segoe UI" w:cs="Segoe UI"/>
          <w:sz w:val="17"/>
          <w:szCs w:val="17"/>
        </w:rPr>
        <w:t>% CAGR despite expanding the asset base from LKR 4</w:t>
      </w:r>
      <w:r>
        <w:rPr>
          <w:rFonts w:ascii="Segoe UI" w:hAnsi="Segoe UI" w:cs="Segoe UI"/>
          <w:sz w:val="17"/>
          <w:szCs w:val="17"/>
        </w:rPr>
        <w:t>.02B</w:t>
      </w:r>
      <w:r w:rsidRPr="001F15EA">
        <w:rPr>
          <w:rFonts w:ascii="Segoe UI" w:hAnsi="Segoe UI" w:cs="Segoe UI"/>
          <w:sz w:val="17"/>
          <w:szCs w:val="17"/>
        </w:rPr>
        <w:t>n to LKR 15.3</w:t>
      </w:r>
      <w:r>
        <w:rPr>
          <w:rFonts w:ascii="Segoe UI" w:hAnsi="Segoe UI" w:cs="Segoe UI"/>
          <w:sz w:val="17"/>
          <w:szCs w:val="17"/>
        </w:rPr>
        <w:t>0B</w:t>
      </w:r>
      <w:r w:rsidRPr="001F15EA">
        <w:rPr>
          <w:rFonts w:ascii="Segoe UI" w:hAnsi="Segoe UI" w:cs="Segoe UI"/>
          <w:sz w:val="17"/>
          <w:szCs w:val="17"/>
        </w:rPr>
        <w:t>n</w:t>
      </w:r>
      <w:r>
        <w:rPr>
          <w:rFonts w:ascii="Segoe UI" w:hAnsi="Segoe UI" w:cs="Segoe UI"/>
          <w:sz w:val="17"/>
          <w:szCs w:val="17"/>
        </w:rPr>
        <w:t xml:space="preserve"> </w:t>
      </w:r>
      <w:hyperlink w:anchor="_Appendix_29:_Financial" w:history="1">
        <w:r w:rsidRPr="00515223">
          <w:rPr>
            <w:rStyle w:val="Hyperlink"/>
            <w:rFonts w:ascii="Segoe UI" w:hAnsi="Segoe UI" w:cs="Segoe UI"/>
            <w:b/>
            <w:bCs/>
            <w:sz w:val="17"/>
            <w:szCs w:val="17"/>
          </w:rPr>
          <w:t>(Appendix 29)</w:t>
        </w:r>
      </w:hyperlink>
      <w:r w:rsidRPr="001F15EA">
        <w:rPr>
          <w:rFonts w:ascii="Segoe UI" w:hAnsi="Segoe UI" w:cs="Segoe UI"/>
          <w:sz w:val="17"/>
          <w:szCs w:val="17"/>
        </w:rPr>
        <w:t xml:space="preserve">, This financial strength allows the company to respond quickly to competitive </w:t>
      </w:r>
      <w:r w:rsidRPr="001F15EA">
        <w:rPr>
          <w:rFonts w:ascii="Segoe UI" w:hAnsi="Segoe UI" w:cs="Segoe UI"/>
          <w:sz w:val="17"/>
          <w:szCs w:val="17"/>
        </w:rPr>
        <w:lastRenderedPageBreak/>
        <w:t>threats, invest in platform enhancements, and capitalize on growth opportunities without over-leveraging. In an industry characterized by low entry barriers and competitive volatility, maintaining low but optimized leverage preserves strategic flexibility, protects downside risk, and supports sustained reinvestment. Overall, PKME’s solvency &amp; liquidity profile reflects disciplined capital structure management that underpins long-term financial stability and strengthens the durability of our BUY recommendation</w:t>
      </w:r>
    </w:p>
    <w:p w14:paraId="549C65EB" w14:textId="77777777" w:rsidR="004B1884" w:rsidRDefault="004B1884"/>
    <w:sectPr w:rsidR="004B1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Light">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9A8"/>
    <w:rsid w:val="000A135B"/>
    <w:rsid w:val="000D76C6"/>
    <w:rsid w:val="0042326B"/>
    <w:rsid w:val="00442C4F"/>
    <w:rsid w:val="004B1884"/>
    <w:rsid w:val="00BB0223"/>
    <w:rsid w:val="00BB69A8"/>
    <w:rsid w:val="00DC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5A1A3"/>
  <w15:chartTrackingRefBased/>
  <w15:docId w15:val="{5B6E5D8C-2813-4924-AA07-571031E9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9A8"/>
  </w:style>
  <w:style w:type="paragraph" w:styleId="Heading1">
    <w:name w:val="heading 1"/>
    <w:basedOn w:val="Normal"/>
    <w:next w:val="Normal"/>
    <w:link w:val="Heading1Char"/>
    <w:uiPriority w:val="9"/>
    <w:qFormat/>
    <w:rsid w:val="00BB6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6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6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6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6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6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6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9A8"/>
    <w:rPr>
      <w:rFonts w:eastAsiaTheme="majorEastAsia" w:cstheme="majorBidi"/>
      <w:color w:val="272727" w:themeColor="text1" w:themeTint="D8"/>
    </w:rPr>
  </w:style>
  <w:style w:type="paragraph" w:styleId="Title">
    <w:name w:val="Title"/>
    <w:basedOn w:val="Normal"/>
    <w:next w:val="Normal"/>
    <w:link w:val="TitleChar"/>
    <w:uiPriority w:val="10"/>
    <w:qFormat/>
    <w:rsid w:val="00BB6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9A8"/>
    <w:pPr>
      <w:spacing w:before="160"/>
      <w:jc w:val="center"/>
    </w:pPr>
    <w:rPr>
      <w:i/>
      <w:iCs/>
      <w:color w:val="404040" w:themeColor="text1" w:themeTint="BF"/>
    </w:rPr>
  </w:style>
  <w:style w:type="character" w:customStyle="1" w:styleId="QuoteChar">
    <w:name w:val="Quote Char"/>
    <w:basedOn w:val="DefaultParagraphFont"/>
    <w:link w:val="Quote"/>
    <w:uiPriority w:val="29"/>
    <w:rsid w:val="00BB69A8"/>
    <w:rPr>
      <w:i/>
      <w:iCs/>
      <w:color w:val="404040" w:themeColor="text1" w:themeTint="BF"/>
    </w:rPr>
  </w:style>
  <w:style w:type="paragraph" w:styleId="ListParagraph">
    <w:name w:val="List Paragraph"/>
    <w:basedOn w:val="Normal"/>
    <w:uiPriority w:val="34"/>
    <w:qFormat/>
    <w:rsid w:val="00BB69A8"/>
    <w:pPr>
      <w:ind w:left="720"/>
      <w:contextualSpacing/>
    </w:pPr>
  </w:style>
  <w:style w:type="character" w:styleId="IntenseEmphasis">
    <w:name w:val="Intense Emphasis"/>
    <w:basedOn w:val="DefaultParagraphFont"/>
    <w:uiPriority w:val="21"/>
    <w:qFormat/>
    <w:rsid w:val="00BB69A8"/>
    <w:rPr>
      <w:i/>
      <w:iCs/>
      <w:color w:val="2F5496" w:themeColor="accent1" w:themeShade="BF"/>
    </w:rPr>
  </w:style>
  <w:style w:type="paragraph" w:styleId="IntenseQuote">
    <w:name w:val="Intense Quote"/>
    <w:basedOn w:val="Normal"/>
    <w:next w:val="Normal"/>
    <w:link w:val="IntenseQuoteChar"/>
    <w:uiPriority w:val="30"/>
    <w:qFormat/>
    <w:rsid w:val="00BB6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9A8"/>
    <w:rPr>
      <w:i/>
      <w:iCs/>
      <w:color w:val="2F5496" w:themeColor="accent1" w:themeShade="BF"/>
    </w:rPr>
  </w:style>
  <w:style w:type="character" w:styleId="IntenseReference">
    <w:name w:val="Intense Reference"/>
    <w:basedOn w:val="DefaultParagraphFont"/>
    <w:uiPriority w:val="32"/>
    <w:qFormat/>
    <w:rsid w:val="00BB69A8"/>
    <w:rPr>
      <w:b/>
      <w:bCs/>
      <w:smallCaps/>
      <w:color w:val="2F5496" w:themeColor="accent1" w:themeShade="BF"/>
      <w:spacing w:val="5"/>
    </w:rPr>
  </w:style>
  <w:style w:type="paragraph" w:customStyle="1" w:styleId="paragraph">
    <w:name w:val="paragraph"/>
    <w:basedOn w:val="Normal"/>
    <w:rsid w:val="00BB69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B69A8"/>
    <w:rPr>
      <w:color w:val="0563C1" w:themeColor="hyperlink"/>
      <w:u w:val="single"/>
    </w:rPr>
  </w:style>
  <w:style w:type="paragraph" w:styleId="Caption">
    <w:name w:val="caption"/>
    <w:basedOn w:val="Normal"/>
    <w:next w:val="Normal"/>
    <w:uiPriority w:val="35"/>
    <w:unhideWhenUsed/>
    <w:qFormat/>
    <w:rsid w:val="00BB69A8"/>
    <w:pPr>
      <w:spacing w:after="200" w:line="240" w:lineRule="auto"/>
    </w:pPr>
    <w:rPr>
      <w:i/>
      <w:iCs/>
      <w:color w:val="44546A" w:themeColor="text2"/>
      <w:sz w:val="18"/>
      <w:szCs w:val="18"/>
    </w:rPr>
  </w:style>
  <w:style w:type="paragraph" w:customStyle="1" w:styleId="PKME">
    <w:name w:val="PKME"/>
    <w:basedOn w:val="Heading4"/>
    <w:link w:val="PKMEChar"/>
    <w:qFormat/>
    <w:rsid w:val="00BB69A8"/>
    <w:pPr>
      <w:jc w:val="center"/>
    </w:pPr>
    <w:rPr>
      <w:rFonts w:ascii="Segoe UI" w:hAnsi="Segoe UI" w:cs="Yu Mincho Light"/>
      <w:b/>
      <w:i w:val="0"/>
      <w:color w:val="000000" w:themeColor="text1"/>
      <w:kern w:val="0"/>
      <w:sz w:val="16"/>
      <w:szCs w:val="20"/>
      <w14:ligatures w14:val="none"/>
    </w:rPr>
  </w:style>
  <w:style w:type="character" w:customStyle="1" w:styleId="PKMEChar">
    <w:name w:val="PKME Char"/>
    <w:basedOn w:val="DefaultParagraphFont"/>
    <w:link w:val="PKME"/>
    <w:rsid w:val="00BB69A8"/>
    <w:rPr>
      <w:rFonts w:ascii="Segoe UI" w:eastAsiaTheme="majorEastAsia" w:hAnsi="Segoe UI" w:cs="Yu Mincho Light"/>
      <w:b/>
      <w:iCs/>
      <w:color w:val="000000" w:themeColor="text1"/>
      <w:kern w:val="0"/>
      <w:sz w:val="1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1000</Words>
  <Characters>6003</Characters>
  <Application>Microsoft Office Word</Application>
  <DocSecurity>0</DocSecurity>
  <Lines>63</Lines>
  <Paragraphs>10</Paragraphs>
  <ScaleCrop>false</ScaleCrop>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FE/2021/003 - MEDUNGODA S.</dc:creator>
  <cp:keywords/>
  <dc:description/>
  <cp:lastModifiedBy>FE/2021/003 - MEDUNGODA S.</cp:lastModifiedBy>
  <cp:revision>1</cp:revision>
  <dcterms:created xsi:type="dcterms:W3CDTF">2025-12-19T02:33:00Z</dcterms:created>
  <dcterms:modified xsi:type="dcterms:W3CDTF">2025-12-19T02:34:00Z</dcterms:modified>
</cp:coreProperties>
</file>