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2E8D5" w14:textId="77777777" w:rsidR="00A97A80" w:rsidRPr="00001ED5" w:rsidRDefault="00A97A80" w:rsidP="00A97A80">
      <w:pPr>
        <w:pStyle w:val="H1"/>
        <w:tabs>
          <w:tab w:val="right" w:pos="7490"/>
        </w:tabs>
        <w:spacing w:line="240" w:lineRule="auto"/>
        <w:rPr>
          <w:rFonts w:cs="Segoe UI"/>
          <w:sz w:val="20"/>
          <w:szCs w:val="20"/>
        </w:rPr>
      </w:pPr>
      <w:r w:rsidRPr="00001ED5">
        <w:rPr>
          <w:rFonts w:cs="Segoe UI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BFBEC" wp14:editId="5D2C59FC">
                <wp:simplePos x="0" y="0"/>
                <wp:positionH relativeFrom="margin">
                  <wp:posOffset>-22860</wp:posOffset>
                </wp:positionH>
                <wp:positionV relativeFrom="paragraph">
                  <wp:posOffset>205105</wp:posOffset>
                </wp:positionV>
                <wp:extent cx="4808220" cy="0"/>
                <wp:effectExtent l="0" t="0" r="0" b="0"/>
                <wp:wrapNone/>
                <wp:docPr id="648835338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8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F16A8" id="Straight Connector 12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8pt,16.15pt" to="376.8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" strokecolor="#002060" strokeweight="1.5pt">
                <v:stroke joinstyle="miter"/>
                <w10:wrap anchorx="margin"/>
              </v:line>
            </w:pict>
          </mc:Fallback>
        </mc:AlternateContent>
      </w:r>
      <w:r w:rsidRPr="00001ED5">
        <w:rPr>
          <w:rFonts w:cs="Segoe UI"/>
          <w:sz w:val="20"/>
          <w:szCs w:val="20"/>
        </w:rPr>
        <w:t>EXECUTIVE SUMMARY</w:t>
      </w:r>
      <w:r w:rsidRPr="00001ED5">
        <w:rPr>
          <w:rFonts w:cs="Segoe UI"/>
          <w:sz w:val="20"/>
          <w:szCs w:val="20"/>
        </w:rPr>
        <w:tab/>
      </w:r>
    </w:p>
    <w:p w14:paraId="2A5B1443" w14:textId="77777777" w:rsidR="00A97A80" w:rsidRPr="00554C2B" w:rsidRDefault="00A97A80" w:rsidP="00A97A80">
      <w:pPr>
        <w:spacing w:after="0" w:line="240" w:lineRule="auto"/>
        <w:jc w:val="both"/>
        <w:rPr>
          <w:rFonts w:ascii="Segoe UI" w:hAnsi="Segoe UI" w:cs="Segoe UI"/>
          <w:sz w:val="17"/>
          <w:szCs w:val="17"/>
        </w:rPr>
      </w:pPr>
      <w:r w:rsidRPr="00554C2B">
        <w:rPr>
          <w:rFonts w:ascii="Segoe UI" w:hAnsi="Segoe UI" w:cs="Segoe UI"/>
          <w:sz w:val="17"/>
          <w:szCs w:val="17"/>
        </w:rPr>
        <w:t>We issue a Buy recommendation for Digital Mobility Solutions PLC (PKME) with a 12-month target price of LKR 18</w:t>
      </w:r>
      <w:r>
        <w:rPr>
          <w:rFonts w:ascii="Segoe UI" w:hAnsi="Segoe UI" w:cs="Segoe UI"/>
          <w:sz w:val="17"/>
          <w:szCs w:val="17"/>
        </w:rPr>
        <w:t>7.36</w:t>
      </w:r>
      <w:r w:rsidRPr="00554C2B">
        <w:rPr>
          <w:rFonts w:ascii="Segoe UI" w:hAnsi="Segoe UI" w:cs="Segoe UI"/>
          <w:sz w:val="17"/>
          <w:szCs w:val="17"/>
        </w:rPr>
        <w:t xml:space="preserve"> reflecting an upside potential of 2</w:t>
      </w:r>
      <w:r>
        <w:rPr>
          <w:rFonts w:ascii="Segoe UI" w:hAnsi="Segoe UI" w:cs="Segoe UI"/>
          <w:sz w:val="17"/>
          <w:szCs w:val="17"/>
        </w:rPr>
        <w:t>9.2</w:t>
      </w:r>
      <w:r w:rsidRPr="00554C2B">
        <w:rPr>
          <w:rFonts w:ascii="Segoe UI" w:hAnsi="Segoe UI" w:cs="Segoe UI"/>
          <w:sz w:val="17"/>
          <w:szCs w:val="17"/>
        </w:rPr>
        <w:t>% from the closing price of LKR 14</w:t>
      </w:r>
      <w:r>
        <w:rPr>
          <w:rFonts w:ascii="Segoe UI" w:hAnsi="Segoe UI" w:cs="Segoe UI"/>
          <w:sz w:val="17"/>
          <w:szCs w:val="17"/>
        </w:rPr>
        <w:t>5</w:t>
      </w:r>
      <w:r w:rsidRPr="00554C2B">
        <w:rPr>
          <w:rFonts w:ascii="Segoe UI" w:hAnsi="Segoe UI" w:cs="Segoe UI"/>
          <w:sz w:val="17"/>
          <w:szCs w:val="17"/>
        </w:rPr>
        <w:t>.00 on December 1</w:t>
      </w:r>
      <w:r>
        <w:rPr>
          <w:rFonts w:ascii="Segoe UI" w:hAnsi="Segoe UI" w:cs="Segoe UI"/>
          <w:sz w:val="17"/>
          <w:szCs w:val="17"/>
        </w:rPr>
        <w:t>7</w:t>
      </w:r>
      <w:r>
        <w:rPr>
          <w:rFonts w:ascii="Segoe UI" w:hAnsi="Segoe UI" w:cs="Segoe UI"/>
          <w:sz w:val="17"/>
          <w:szCs w:val="17"/>
          <w:vertAlign w:val="superscript"/>
        </w:rPr>
        <w:t xml:space="preserve">, </w:t>
      </w:r>
      <w:r w:rsidRPr="00554C2B">
        <w:rPr>
          <w:rFonts w:ascii="Segoe UI" w:hAnsi="Segoe UI" w:cs="Segoe UI"/>
          <w:sz w:val="17"/>
          <w:szCs w:val="17"/>
        </w:rPr>
        <w:t>2025. This target price is derived from a Discounted Cash Flow (DCF) valuation and supported by Relative Valuation, Bull and Bear scenario analysis, Monte Carlo Simulation, Sensitivity Analysis and ESG valuation</w:t>
      </w:r>
      <w:r>
        <w:rPr>
          <w:rFonts w:ascii="Segoe UI" w:hAnsi="Segoe UI" w:cs="Segoe UI"/>
          <w:sz w:val="17"/>
          <w:szCs w:val="17"/>
        </w:rPr>
        <w:t xml:space="preserve"> </w:t>
      </w:r>
      <w:r w:rsidRPr="008123F0">
        <w:rPr>
          <w:rFonts w:ascii="Segoe UI" w:hAnsi="Segoe UI" w:cs="Segoe UI"/>
          <w:b/>
          <w:bCs/>
          <w:sz w:val="17"/>
          <w:szCs w:val="17"/>
        </w:rPr>
        <w:t>(</w:t>
      </w:r>
      <w:r w:rsidRPr="008123F0">
        <w:rPr>
          <w:rFonts w:ascii="Segoe UI" w:hAnsi="Segoe UI" w:cs="Segoe UI"/>
          <w:b/>
          <w:bCs/>
          <w:sz w:val="17"/>
          <w:szCs w:val="17"/>
        </w:rPr>
        <w:fldChar w:fldCharType="begin"/>
      </w:r>
      <w:r w:rsidRPr="008123F0">
        <w:rPr>
          <w:rFonts w:ascii="Segoe UI" w:hAnsi="Segoe UI" w:cs="Segoe UI"/>
          <w:b/>
          <w:bCs/>
          <w:sz w:val="17"/>
          <w:szCs w:val="17"/>
        </w:rPr>
        <w:instrText xml:space="preserve"> REF _Ref216900722 \h </w:instrText>
      </w:r>
      <w:r>
        <w:rPr>
          <w:rFonts w:ascii="Segoe UI" w:hAnsi="Segoe UI" w:cs="Segoe UI"/>
          <w:b/>
          <w:bCs/>
          <w:sz w:val="17"/>
          <w:szCs w:val="17"/>
        </w:rPr>
        <w:instrText xml:space="preserve"> \* MERGEFORMAT </w:instrText>
      </w:r>
      <w:r w:rsidRPr="008123F0">
        <w:rPr>
          <w:rFonts w:ascii="Segoe UI" w:hAnsi="Segoe UI" w:cs="Segoe UI"/>
          <w:b/>
          <w:bCs/>
          <w:sz w:val="17"/>
          <w:szCs w:val="17"/>
        </w:rPr>
      </w:r>
      <w:r w:rsidRPr="008123F0">
        <w:rPr>
          <w:rFonts w:ascii="Segoe UI" w:hAnsi="Segoe UI" w:cs="Segoe UI"/>
          <w:b/>
          <w:bCs/>
          <w:sz w:val="17"/>
          <w:szCs w:val="17"/>
        </w:rPr>
        <w:fldChar w:fldCharType="separate"/>
      </w:r>
      <w:r w:rsidRPr="00E03EF8">
        <w:rPr>
          <w:rFonts w:ascii="Segoe UI" w:eastAsiaTheme="majorEastAsia" w:hAnsi="Segoe UI" w:cs="Segoe UI"/>
          <w:b/>
          <w:bCs/>
          <w:sz w:val="16"/>
          <w:szCs w:val="16"/>
        </w:rPr>
        <w:t xml:space="preserve">Figure </w:t>
      </w:r>
      <w:r w:rsidRPr="00E03EF8">
        <w:rPr>
          <w:rFonts w:ascii="Segoe UI" w:eastAsiaTheme="majorEastAsia" w:hAnsi="Segoe UI" w:cs="Segoe UI"/>
          <w:b/>
          <w:bCs/>
          <w:noProof/>
          <w:sz w:val="16"/>
          <w:szCs w:val="16"/>
        </w:rPr>
        <w:t>2</w:t>
      </w:r>
      <w:r w:rsidRPr="008123F0">
        <w:rPr>
          <w:rFonts w:ascii="Segoe UI" w:hAnsi="Segoe UI" w:cs="Segoe UI"/>
          <w:b/>
          <w:bCs/>
          <w:sz w:val="17"/>
          <w:szCs w:val="17"/>
        </w:rPr>
        <w:fldChar w:fldCharType="end"/>
      </w:r>
      <w:r w:rsidRPr="008123F0">
        <w:rPr>
          <w:rFonts w:ascii="Segoe UI" w:hAnsi="Segoe UI" w:cs="Segoe UI"/>
          <w:b/>
          <w:bCs/>
          <w:sz w:val="17"/>
          <w:szCs w:val="17"/>
        </w:rPr>
        <w:t>)</w:t>
      </w:r>
      <w:r w:rsidRPr="008123F0">
        <w:rPr>
          <w:rFonts w:ascii="Segoe UI" w:hAnsi="Segoe UI" w:cs="Segoe UI"/>
          <w:sz w:val="17"/>
          <w:szCs w:val="17"/>
        </w:rPr>
        <w:t>.</w:t>
      </w:r>
      <w:r w:rsidRPr="00554C2B">
        <w:rPr>
          <w:rFonts w:ascii="Segoe UI" w:hAnsi="Segoe UI" w:cs="Segoe UI"/>
          <w:sz w:val="17"/>
          <w:szCs w:val="17"/>
        </w:rPr>
        <w:t xml:space="preserve"> PKME is the </w:t>
      </w:r>
      <w:r>
        <w:rPr>
          <w:rFonts w:ascii="Segoe UI" w:hAnsi="Segoe UI" w:cs="Segoe UI"/>
          <w:sz w:val="17"/>
          <w:szCs w:val="17"/>
        </w:rPr>
        <w:t xml:space="preserve">market </w:t>
      </w:r>
      <w:r w:rsidRPr="00554C2B">
        <w:rPr>
          <w:rFonts w:ascii="Segoe UI" w:hAnsi="Segoe UI" w:cs="Segoe UI"/>
          <w:sz w:val="17"/>
          <w:szCs w:val="17"/>
        </w:rPr>
        <w:t xml:space="preserve">leader in ride hailing strengthened by strategic regional expansion, rising user demand, and a strong technology and cost-driven competitive </w:t>
      </w:r>
      <w:proofErr w:type="gramStart"/>
      <w:r w:rsidRPr="00554C2B">
        <w:rPr>
          <w:rFonts w:ascii="Segoe UI" w:hAnsi="Segoe UI" w:cs="Segoe UI"/>
          <w:sz w:val="17"/>
          <w:szCs w:val="17"/>
        </w:rPr>
        <w:t>moat</w:t>
      </w:r>
      <w:proofErr w:type="gramEnd"/>
      <w:r w:rsidRPr="00554C2B">
        <w:rPr>
          <w:rFonts w:ascii="Segoe UI" w:hAnsi="Segoe UI" w:cs="Segoe UI"/>
          <w:sz w:val="17"/>
          <w:szCs w:val="17"/>
        </w:rPr>
        <w:t xml:space="preserve"> that firmly positions the company for sustained market leadership.</w:t>
      </w:r>
      <w:r w:rsidRPr="00D419C6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032522DD" w14:textId="77777777" w:rsidR="00A97A80" w:rsidRDefault="00A97A80" w:rsidP="00A97A80">
      <w:pPr>
        <w:pStyle w:val="H1"/>
        <w:tabs>
          <w:tab w:val="left" w:pos="2796"/>
          <w:tab w:val="right" w:pos="7490"/>
        </w:tabs>
        <w:spacing w:after="0" w:line="240" w:lineRule="auto"/>
        <w:rPr>
          <w:rFonts w:cs="Segoe UI"/>
          <w:sz w:val="20"/>
          <w:szCs w:val="20"/>
        </w:rPr>
      </w:pPr>
      <w:r w:rsidRPr="003E39D6">
        <w:rPr>
          <w:rFonts w:cs="Segoe UI"/>
          <w:sz w:val="20"/>
          <w:szCs w:val="20"/>
        </w:rPr>
        <w:t>INVESTMENT SUMMARY</w:t>
      </w:r>
    </w:p>
    <w:p w14:paraId="4EB360A2" w14:textId="414E8133" w:rsidR="00A97A80" w:rsidRDefault="00A97A80" w:rsidP="00A97A80">
      <w:pPr>
        <w:pStyle w:val="H1"/>
        <w:tabs>
          <w:tab w:val="left" w:pos="2796"/>
          <w:tab w:val="right" w:pos="7490"/>
        </w:tabs>
        <w:spacing w:after="0" w:line="240" w:lineRule="auto"/>
        <w:rPr>
          <w:rFonts w:cs="Segoe UI"/>
          <w:color w:val="auto"/>
          <w:sz w:val="18"/>
          <w:szCs w:val="18"/>
        </w:rPr>
      </w:pPr>
      <w:r w:rsidRPr="0001056E">
        <w:rPr>
          <w:rFonts w:cs="Segoe UI"/>
          <w:noProof/>
          <w:color w:val="auto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84FCCE" wp14:editId="7BBF4A21">
                <wp:simplePos x="0" y="0"/>
                <wp:positionH relativeFrom="margin">
                  <wp:align>left</wp:align>
                </wp:positionH>
                <wp:positionV relativeFrom="paragraph">
                  <wp:posOffset>33564</wp:posOffset>
                </wp:positionV>
                <wp:extent cx="4808220" cy="0"/>
                <wp:effectExtent l="0" t="0" r="0" b="0"/>
                <wp:wrapNone/>
                <wp:docPr id="436183559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82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6D1AB" id="Straight Connector 12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65pt" to="378.6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" strokecolor="#002060" strokeweight="1.5pt">
                <v:stroke joinstyle="miter"/>
                <w10:wrap anchorx="margin"/>
              </v:line>
            </w:pict>
          </mc:Fallback>
        </mc:AlternateContent>
      </w:r>
    </w:p>
    <w:p w14:paraId="42B72791" w14:textId="1758B618" w:rsidR="00A97A80" w:rsidRPr="00B813B5" w:rsidRDefault="00A97A80" w:rsidP="00A97A80">
      <w:pPr>
        <w:pStyle w:val="H1"/>
        <w:tabs>
          <w:tab w:val="left" w:pos="2796"/>
          <w:tab w:val="right" w:pos="7490"/>
        </w:tabs>
        <w:spacing w:after="0" w:line="240" w:lineRule="auto"/>
        <w:rPr>
          <w:rFonts w:cs="Segoe UI"/>
          <w:color w:val="auto"/>
          <w:sz w:val="20"/>
          <w:szCs w:val="20"/>
        </w:rPr>
      </w:pPr>
      <w:bookmarkStart w:id="0" w:name="_Hlk216845414"/>
      <w:r w:rsidRPr="0001056E">
        <w:rPr>
          <w:rFonts w:cs="Segoe UI"/>
          <w:color w:val="auto"/>
          <w:sz w:val="18"/>
          <w:szCs w:val="18"/>
        </w:rPr>
        <w:t xml:space="preserve">Thesis #1: PKME’s First-Mover Expansion into High-Potential Regions and Superior </w:t>
      </w:r>
      <w:r w:rsidRPr="00B813B5">
        <w:rPr>
          <w:rFonts w:cs="Segoe UI"/>
          <w:color w:val="auto"/>
          <w:sz w:val="18"/>
          <w:szCs w:val="18"/>
        </w:rPr>
        <w:t>Operating Leverage Drives Growth that Outpaces Peers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427269" wp14:editId="192BDBB9">
                <wp:simplePos x="0" y="0"/>
                <wp:positionH relativeFrom="column">
                  <wp:posOffset>410845</wp:posOffset>
                </wp:positionH>
                <wp:positionV relativeFrom="paragraph">
                  <wp:posOffset>486410</wp:posOffset>
                </wp:positionV>
                <wp:extent cx="779072" cy="247166"/>
                <wp:effectExtent l="0" t="0" r="0" b="635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BF5082-7ED8-3CD0-98B6-952BAC6461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072" cy="247166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1D6EF" w14:textId="77777777" w:rsidR="00A97A80" w:rsidRDefault="00A97A80" w:rsidP="00A97A80">
                            <w:pPr>
                              <w:rPr>
                                <w:rFonts w:ascii="Segoe UI" w:hAnsi="Segoe UI" w:cs="Segoe UI"/>
                                <w:color w:val="FFFFFF" w:themeColor="background1"/>
                                <w:kern w:val="0"/>
                                <w:sz w:val="16"/>
                                <w:szCs w:val="16"/>
                                <w:lang w:val="en-GB"/>
                                <w14:ligatures w14:val="none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  <w:sz w:val="16"/>
                                <w:szCs w:val="16"/>
                                <w:lang w:val="en-GB"/>
                              </w:rPr>
                              <w:t>52W Range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type w14:anchorId="1D427269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32.35pt;margin-top:38.3pt;width:61.35pt;height:1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" filled="f" stroked="f">
                <v:textbox>
                  <w:txbxContent>
                    <w:p w14:paraId="0C01D6EF" w14:textId="77777777" w:rsidR="00A97A80" w:rsidRDefault="00A97A80" w:rsidP="00A97A80">
                      <w:pPr>
                        <w:rPr>
                          <w:rFonts w:ascii="Segoe UI" w:hAnsi="Segoe UI" w:cs="Segoe UI"/>
                          <w:color w:val="FFFFFF" w:themeColor="background1"/>
                          <w:kern w:val="0"/>
                          <w:sz w:val="16"/>
                          <w:szCs w:val="16"/>
                          <w:lang w:val="en-GB"/>
                          <w14:ligatures w14:val="none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  <w:sz w:val="16"/>
                          <w:szCs w:val="16"/>
                          <w:lang w:val="en-GB"/>
                        </w:rPr>
                        <w:t>52W Range</w:t>
                      </w:r>
                    </w:p>
                  </w:txbxContent>
                </v:textbox>
              </v:shape>
            </w:pict>
          </mc:Fallback>
        </mc:AlternateContent>
      </w:r>
    </w:p>
    <w:p w14:paraId="0775B0C3" w14:textId="41C22560" w:rsidR="00A97A80" w:rsidRPr="005D41E0" w:rsidRDefault="00A97A80" w:rsidP="00A97A80">
      <w:pPr>
        <w:spacing w:after="0" w:line="240" w:lineRule="auto"/>
        <w:jc w:val="both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27962" wp14:editId="5020AED6">
                <wp:simplePos x="0" y="0"/>
                <wp:positionH relativeFrom="column">
                  <wp:posOffset>-2063804</wp:posOffset>
                </wp:positionH>
                <wp:positionV relativeFrom="paragraph">
                  <wp:posOffset>602775</wp:posOffset>
                </wp:positionV>
                <wp:extent cx="867814" cy="249084"/>
                <wp:effectExtent l="0" t="0" r="0" b="0"/>
                <wp:wrapNone/>
                <wp:docPr id="1913861003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BF5082-7ED8-3CD0-98B6-952BAC6461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814" cy="249084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DA92F" w14:textId="77777777" w:rsidR="00A97A80" w:rsidRDefault="00A97A80" w:rsidP="00A97A80">
                            <w:pPr>
                              <w:rPr>
                                <w:rFonts w:ascii="Segoe UI" w:hAnsi="Segoe UI" w:cs="Segoe UI"/>
                                <w:color w:val="FFFFFF" w:themeColor="background1"/>
                                <w:kern w:val="0"/>
                                <w:sz w:val="16"/>
                                <w:szCs w:val="16"/>
                                <w:lang w:val="en-GB"/>
                                <w14:ligatures w14:val="none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  <w:sz w:val="16"/>
                                <w:szCs w:val="16"/>
                                <w:lang w:val="en-GB"/>
                              </w:rPr>
                              <w:t>52W Range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44727962" id="_x0000_s1027" type="#_x0000_t202" style="position:absolute;left:0;text-align:left;margin-left:-162.5pt;margin-top:47.45pt;width:68.35pt;height:1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" filled="f" stroked="f">
                <v:textbox>
                  <w:txbxContent>
                    <w:p w14:paraId="548DA92F" w14:textId="77777777" w:rsidR="00A97A80" w:rsidRDefault="00A97A80" w:rsidP="00A97A80">
                      <w:pPr>
                        <w:rPr>
                          <w:rFonts w:ascii="Segoe UI" w:hAnsi="Segoe UI" w:cs="Segoe UI"/>
                          <w:color w:val="FFFFFF" w:themeColor="background1"/>
                          <w:kern w:val="0"/>
                          <w:sz w:val="16"/>
                          <w:szCs w:val="16"/>
                          <w:lang w:val="en-GB"/>
                          <w14:ligatures w14:val="none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  <w:sz w:val="16"/>
                          <w:szCs w:val="16"/>
                          <w:lang w:val="en-GB"/>
                        </w:rPr>
                        <w:t>52W Range</w:t>
                      </w:r>
                    </w:p>
                  </w:txbxContent>
                </v:textbox>
              </v:shape>
            </w:pict>
          </mc:Fallback>
        </mc:AlternateContent>
      </w:r>
      <w:r w:rsidRPr="00554C2B">
        <w:rPr>
          <w:rFonts w:ascii="Segoe UI" w:hAnsi="Segoe UI" w:cs="Segoe UI"/>
          <w:sz w:val="17"/>
          <w:szCs w:val="17"/>
        </w:rPr>
        <w:t>PKME, one of Sri Lanka’s largest digital platforms with over 1.3</w:t>
      </w:r>
      <w:r>
        <w:rPr>
          <w:rFonts w:ascii="Segoe UI" w:hAnsi="Segoe UI" w:cs="Segoe UI"/>
          <w:sz w:val="17"/>
          <w:szCs w:val="17"/>
        </w:rPr>
        <w:t>4</w:t>
      </w:r>
      <w:r w:rsidRPr="00554C2B">
        <w:rPr>
          <w:rFonts w:ascii="Segoe UI" w:hAnsi="Segoe UI" w:cs="Segoe UI"/>
          <w:sz w:val="17"/>
          <w:szCs w:val="17"/>
        </w:rPr>
        <w:t>Mn users, is positioned to outpace peers as the only operator expanding simultaneously into the underpenetrated Tier 2 and Tier 3 regions, as evidenced by its early entry into Jaffna and Kegalle. Our regional segmentation of Sri Lanka shows that while Tier 1 is largely saturated, Tier 2 and Tier 3 offer the strongest long-term growth potential, covering most districts and recording high e-commerce penetration of around 60</w:t>
      </w:r>
      <w:r>
        <w:rPr>
          <w:rFonts w:ascii="Segoe UI" w:hAnsi="Segoe UI" w:cs="Segoe UI"/>
          <w:sz w:val="17"/>
          <w:szCs w:val="17"/>
        </w:rPr>
        <w:t>.0</w:t>
      </w:r>
      <w:r w:rsidRPr="00554C2B">
        <w:rPr>
          <w:rFonts w:ascii="Segoe UI" w:hAnsi="Segoe UI" w:cs="Segoe UI"/>
          <w:sz w:val="17"/>
          <w:szCs w:val="17"/>
        </w:rPr>
        <w:t>%</w:t>
      </w:r>
      <w:r>
        <w:rPr>
          <w:rFonts w:ascii="Segoe UI" w:hAnsi="Segoe UI" w:cs="Segoe UI"/>
          <w:b/>
          <w:bCs/>
          <w:i/>
          <w:iCs/>
          <w:sz w:val="17"/>
          <w:szCs w:val="17"/>
        </w:rPr>
        <w:t xml:space="preserve"> </w:t>
      </w:r>
      <w:r w:rsidRPr="0029493D">
        <w:rPr>
          <w:rFonts w:ascii="Segoe UI" w:hAnsi="Segoe UI" w:cs="Segoe UI"/>
          <w:b/>
          <w:bCs/>
          <w:sz w:val="17"/>
          <w:szCs w:val="17"/>
        </w:rPr>
        <w:t>(</w:t>
      </w:r>
      <w:r w:rsidRPr="0029493D">
        <w:rPr>
          <w:rFonts w:ascii="Segoe UI" w:hAnsi="Segoe UI" w:cs="Segoe UI"/>
          <w:b/>
          <w:bCs/>
          <w:i/>
          <w:iCs/>
          <w:sz w:val="17"/>
          <w:szCs w:val="17"/>
        </w:rPr>
        <w:fldChar w:fldCharType="begin"/>
      </w:r>
      <w:r w:rsidRPr="0029493D">
        <w:rPr>
          <w:rFonts w:ascii="Segoe UI" w:hAnsi="Segoe UI" w:cs="Segoe UI"/>
          <w:b/>
          <w:bCs/>
          <w:i/>
          <w:iCs/>
          <w:sz w:val="17"/>
          <w:szCs w:val="17"/>
        </w:rPr>
        <w:instrText xml:space="preserve"> REF _Ref216900976 \h  \* MERGEFORMAT </w:instrText>
      </w:r>
      <w:r w:rsidRPr="0029493D">
        <w:rPr>
          <w:rFonts w:ascii="Segoe UI" w:hAnsi="Segoe UI" w:cs="Segoe UI"/>
          <w:b/>
          <w:bCs/>
          <w:i/>
          <w:iCs/>
          <w:sz w:val="17"/>
          <w:szCs w:val="17"/>
        </w:rPr>
      </w:r>
      <w:r w:rsidRPr="0029493D">
        <w:rPr>
          <w:rFonts w:ascii="Segoe UI" w:hAnsi="Segoe UI" w:cs="Segoe UI"/>
          <w:b/>
          <w:bCs/>
          <w:i/>
          <w:iCs/>
          <w:sz w:val="17"/>
          <w:szCs w:val="17"/>
        </w:rPr>
        <w:fldChar w:fldCharType="separate"/>
      </w:r>
      <w:r w:rsidRPr="0029493D">
        <w:rPr>
          <w:rFonts w:ascii="Segoe UI" w:hAnsi="Segoe UI" w:cs="Segoe UI"/>
          <w:b/>
          <w:bCs/>
          <w:sz w:val="17"/>
          <w:szCs w:val="17"/>
        </w:rPr>
        <w:t xml:space="preserve">Figure </w:t>
      </w:r>
      <w:r w:rsidRPr="0029493D">
        <w:rPr>
          <w:rFonts w:ascii="Segoe UI" w:hAnsi="Segoe UI" w:cs="Segoe UI"/>
          <w:b/>
          <w:bCs/>
          <w:noProof/>
          <w:sz w:val="17"/>
          <w:szCs w:val="17"/>
        </w:rPr>
        <w:t>3</w:t>
      </w:r>
      <w:r w:rsidRPr="0029493D">
        <w:rPr>
          <w:rFonts w:ascii="Segoe UI" w:hAnsi="Segoe UI" w:cs="Segoe UI"/>
          <w:b/>
          <w:bCs/>
          <w:i/>
          <w:iCs/>
          <w:sz w:val="17"/>
          <w:szCs w:val="17"/>
        </w:rPr>
        <w:fldChar w:fldCharType="end"/>
      </w:r>
      <w:r w:rsidRPr="0029493D">
        <w:rPr>
          <w:rFonts w:ascii="Segoe UI" w:hAnsi="Segoe UI" w:cs="Segoe UI"/>
          <w:b/>
          <w:bCs/>
          <w:sz w:val="17"/>
          <w:szCs w:val="17"/>
        </w:rPr>
        <w:t>)</w:t>
      </w:r>
      <w:hyperlink w:anchor="_Appendix_02:_Regional" w:history="1">
        <w:r w:rsidRPr="00DE2C9F">
          <w:rPr>
            <w:rStyle w:val="Hyperlink"/>
            <w:rFonts w:ascii="Segoe UI" w:hAnsi="Segoe UI" w:cs="Segoe UI"/>
            <w:b/>
            <w:bCs/>
            <w:color w:val="000000" w:themeColor="text1"/>
            <w:sz w:val="17"/>
            <w:szCs w:val="17"/>
          </w:rPr>
          <w:t>(Appendix 02)</w:t>
        </w:r>
        <w:r w:rsidRPr="00CD55DA">
          <w:rPr>
            <w:rStyle w:val="Hyperlink"/>
            <w:rFonts w:ascii="Segoe UI" w:hAnsi="Segoe UI" w:cs="Segoe UI"/>
            <w:sz w:val="17"/>
            <w:szCs w:val="17"/>
          </w:rPr>
          <w:t>.</w:t>
        </w:r>
      </w:hyperlink>
      <w:r w:rsidRPr="00554C2B">
        <w:rPr>
          <w:rFonts w:ascii="Segoe UI" w:hAnsi="Segoe UI" w:cs="Segoe UI"/>
          <w:sz w:val="17"/>
          <w:szCs w:val="17"/>
        </w:rPr>
        <w:t xml:space="preserve"> Competitors have not fully acted on this opportunity, remaining concentrated to a limited portion of Tier 2</w:t>
      </w:r>
      <w:r>
        <w:rPr>
          <w:rFonts w:ascii="Segoe UI" w:hAnsi="Segoe UI" w:cs="Segoe UI"/>
          <w:sz w:val="17"/>
          <w:szCs w:val="17"/>
        </w:rPr>
        <w:t xml:space="preserve"> regions</w:t>
      </w:r>
      <w:r w:rsidRPr="00554C2B">
        <w:rPr>
          <w:rFonts w:ascii="Segoe UI" w:hAnsi="Segoe UI" w:cs="Segoe UI"/>
          <w:sz w:val="17"/>
          <w:szCs w:val="17"/>
        </w:rPr>
        <w:t xml:space="preserve"> and maintaining a narrow footprint in Tier 3. This wide geographic reach is expected to meaningfully expand PKME’s </w:t>
      </w:r>
      <w:r>
        <w:rPr>
          <w:rFonts w:ascii="Segoe UI" w:hAnsi="Segoe UI" w:cs="Segoe UI"/>
          <w:sz w:val="17"/>
          <w:szCs w:val="17"/>
        </w:rPr>
        <w:t>user</w:t>
      </w:r>
      <w:r w:rsidRPr="00554C2B">
        <w:rPr>
          <w:rFonts w:ascii="Segoe UI" w:hAnsi="Segoe UI" w:cs="Segoe UI"/>
          <w:sz w:val="17"/>
          <w:szCs w:val="17"/>
        </w:rPr>
        <w:t xml:space="preserve"> base, driving higher ride volumes and lifting Gross </w:t>
      </w:r>
      <w:r>
        <w:rPr>
          <w:rFonts w:ascii="Segoe UI" w:hAnsi="Segoe UI" w:cs="Segoe UI"/>
          <w:sz w:val="17"/>
          <w:szCs w:val="17"/>
        </w:rPr>
        <w:t>Transaction</w:t>
      </w:r>
      <w:r w:rsidRPr="00554C2B">
        <w:rPr>
          <w:rFonts w:ascii="Segoe UI" w:hAnsi="Segoe UI" w:cs="Segoe UI"/>
          <w:sz w:val="17"/>
          <w:szCs w:val="17"/>
        </w:rPr>
        <w:t xml:space="preserve"> Value (G</w:t>
      </w:r>
      <w:r>
        <w:rPr>
          <w:rFonts w:ascii="Segoe UI" w:hAnsi="Segoe UI" w:cs="Segoe UI"/>
          <w:sz w:val="17"/>
          <w:szCs w:val="17"/>
        </w:rPr>
        <w:t>T</w:t>
      </w:r>
      <w:r w:rsidRPr="00554C2B">
        <w:rPr>
          <w:rFonts w:ascii="Segoe UI" w:hAnsi="Segoe UI" w:cs="Segoe UI"/>
          <w:sz w:val="17"/>
          <w:szCs w:val="17"/>
        </w:rPr>
        <w:t>V) over the forecast period. This dual-tier first-mover advantage supports a forecast revenue CAGR of 29.5% from FY26E-FY30E, and PKME’s fixed cost base, with 55</w:t>
      </w:r>
      <w:r>
        <w:rPr>
          <w:rFonts w:ascii="Segoe UI" w:hAnsi="Segoe UI" w:cs="Segoe UI"/>
          <w:sz w:val="17"/>
          <w:szCs w:val="17"/>
        </w:rPr>
        <w:t>.0</w:t>
      </w:r>
      <w:r w:rsidRPr="00554C2B">
        <w:rPr>
          <w:rFonts w:ascii="Segoe UI" w:hAnsi="Segoe UI" w:cs="Segoe UI"/>
          <w:sz w:val="17"/>
          <w:szCs w:val="17"/>
        </w:rPr>
        <w:t>% of costs fixed, generates operating leverage of 2.44x, enabling efficient margin scaling and driving ROE from 56.7% to 71.4%, while EPS rises from LKR 5.53 to LKR 19.30 by FY30</w:t>
      </w:r>
      <w:r>
        <w:rPr>
          <w:rFonts w:ascii="Segoe UI" w:hAnsi="Segoe UI" w:cs="Segoe UI"/>
          <w:sz w:val="17"/>
          <w:szCs w:val="17"/>
        </w:rPr>
        <w:t>E</w:t>
      </w:r>
      <w:r w:rsidRPr="00554C2B">
        <w:rPr>
          <w:rFonts w:ascii="Segoe UI" w:hAnsi="Segoe UI" w:cs="Segoe UI"/>
          <w:sz w:val="17"/>
          <w:szCs w:val="17"/>
        </w:rPr>
        <w:t xml:space="preserve"> </w:t>
      </w:r>
      <w:r w:rsidRPr="00C50D95">
        <w:rPr>
          <w:rFonts w:ascii="Segoe UI" w:hAnsi="Segoe UI" w:cs="Segoe UI"/>
          <w:b/>
          <w:bCs/>
          <w:sz w:val="17"/>
          <w:szCs w:val="17"/>
        </w:rPr>
        <w:t>(</w:t>
      </w:r>
      <w:r w:rsidRPr="00C50D95">
        <w:rPr>
          <w:rFonts w:ascii="Segoe UI" w:hAnsi="Segoe UI" w:cs="Segoe UI"/>
          <w:sz w:val="17"/>
          <w:szCs w:val="17"/>
        </w:rPr>
        <w:fldChar w:fldCharType="begin"/>
      </w:r>
      <w:r w:rsidRPr="00C50D95">
        <w:rPr>
          <w:rFonts w:ascii="Segoe UI" w:hAnsi="Segoe UI" w:cs="Segoe UI"/>
          <w:sz w:val="17"/>
          <w:szCs w:val="17"/>
        </w:rPr>
        <w:instrText xml:space="preserve"> REF _Ref216901262 \h </w:instrText>
      </w:r>
      <w:r>
        <w:rPr>
          <w:rFonts w:ascii="Segoe UI" w:hAnsi="Segoe UI" w:cs="Segoe UI"/>
          <w:sz w:val="17"/>
          <w:szCs w:val="17"/>
        </w:rPr>
        <w:instrText xml:space="preserve"> \* MERGEFORMAT </w:instrText>
      </w:r>
      <w:r w:rsidRPr="00C50D95">
        <w:rPr>
          <w:rFonts w:ascii="Segoe UI" w:hAnsi="Segoe UI" w:cs="Segoe UI"/>
          <w:sz w:val="17"/>
          <w:szCs w:val="17"/>
        </w:rPr>
      </w:r>
      <w:r w:rsidRPr="00C50D95">
        <w:rPr>
          <w:rFonts w:ascii="Segoe UI" w:hAnsi="Segoe UI" w:cs="Segoe UI"/>
          <w:sz w:val="17"/>
          <w:szCs w:val="17"/>
        </w:rPr>
        <w:fldChar w:fldCharType="separate"/>
      </w:r>
      <w:r w:rsidRPr="00E03EF8">
        <w:rPr>
          <w:b/>
          <w:sz w:val="17"/>
          <w:szCs w:val="17"/>
        </w:rPr>
        <w:t xml:space="preserve">Figure </w:t>
      </w:r>
      <w:r w:rsidRPr="00E03EF8">
        <w:rPr>
          <w:b/>
          <w:noProof/>
          <w:sz w:val="17"/>
          <w:szCs w:val="17"/>
        </w:rPr>
        <w:t>4</w:t>
      </w:r>
      <w:r w:rsidRPr="00C50D95">
        <w:rPr>
          <w:rFonts w:ascii="Segoe UI" w:hAnsi="Segoe UI" w:cs="Segoe UI"/>
          <w:sz w:val="17"/>
          <w:szCs w:val="17"/>
        </w:rPr>
        <w:fldChar w:fldCharType="end"/>
      </w:r>
      <w:r w:rsidRPr="00C50D95">
        <w:rPr>
          <w:rFonts w:ascii="Segoe UI" w:hAnsi="Segoe UI" w:cs="Segoe UI"/>
          <w:b/>
          <w:bCs/>
          <w:sz w:val="17"/>
          <w:szCs w:val="17"/>
        </w:rPr>
        <w:t>)</w:t>
      </w:r>
      <w:r w:rsidRPr="00554C2B">
        <w:rPr>
          <w:rFonts w:ascii="Segoe UI" w:hAnsi="Segoe UI" w:cs="Segoe UI"/>
          <w:sz w:val="17"/>
          <w:szCs w:val="17"/>
        </w:rPr>
        <w:t xml:space="preserve">. Additionally, we forecast an LTV/CAC ratio of </w:t>
      </w:r>
      <w:r>
        <w:rPr>
          <w:rFonts w:ascii="Segoe UI" w:hAnsi="Segoe UI" w:cs="Segoe UI"/>
          <w:sz w:val="17"/>
          <w:szCs w:val="17"/>
        </w:rPr>
        <w:t>3:1</w:t>
      </w:r>
      <w:r w:rsidRPr="00554C2B">
        <w:rPr>
          <w:rFonts w:ascii="Segoe UI" w:hAnsi="Segoe UI" w:cs="Segoe UI"/>
          <w:sz w:val="17"/>
          <w:szCs w:val="17"/>
        </w:rPr>
        <w:t>, implying every rupee spent on customer acquisition generates three rupees of gross profit, in line with global benchmarks</w:t>
      </w:r>
      <w:r w:rsidRPr="005D41E0">
        <w:rPr>
          <w:rFonts w:ascii="Segoe UI" w:hAnsi="Segoe UI" w:cs="Segoe UI"/>
          <w:sz w:val="16"/>
          <w:szCs w:val="16"/>
        </w:rPr>
        <w:t>.</w:t>
      </w:r>
      <w:r w:rsidRPr="00003CA5">
        <w:rPr>
          <w:noProof/>
        </w:rPr>
        <w:t xml:space="preserve"> </w:t>
      </w:r>
    </w:p>
    <w:p w14:paraId="490ACD1B" w14:textId="10E03537" w:rsidR="00A97A80" w:rsidRPr="009C24AA" w:rsidRDefault="00A97A80" w:rsidP="00A97A80">
      <w:pPr>
        <w:spacing w:after="0" w:line="240" w:lineRule="auto"/>
        <w:jc w:val="both"/>
        <w:rPr>
          <w:rFonts w:ascii="Segoe UI" w:hAnsi="Segoe UI" w:cs="Segoe UI"/>
          <w:noProof/>
          <w:sz w:val="18"/>
          <w:szCs w:val="18"/>
        </w:rPr>
      </w:pPr>
      <w:r w:rsidRPr="005F1E93">
        <w:rPr>
          <w:rFonts w:ascii="Segoe UI" w:hAnsi="Segoe UI" w:cs="Segoe UI"/>
          <w:b/>
          <w:sz w:val="18"/>
          <w:szCs w:val="18"/>
        </w:rPr>
        <w:t>Thesis #2: PKME Is Structurally Aligned to Capture Sri Lanka’s Mobility Demand Surge</w:t>
      </w:r>
    </w:p>
    <w:p w14:paraId="3E6B5B5A" w14:textId="77777777" w:rsidR="00A97A80" w:rsidRPr="00554C2B" w:rsidRDefault="00A97A80" w:rsidP="00A97A80">
      <w:pPr>
        <w:spacing w:after="0" w:line="240" w:lineRule="auto"/>
        <w:jc w:val="both"/>
        <w:rPr>
          <w:rFonts w:ascii="Segoe UI" w:hAnsi="Segoe UI" w:cs="Segoe UI"/>
          <w:sz w:val="17"/>
          <w:szCs w:val="17"/>
        </w:rPr>
      </w:pPr>
      <w:r w:rsidRPr="00554C2B">
        <w:rPr>
          <w:rFonts w:ascii="Segoe UI" w:hAnsi="Segoe UI" w:cs="Segoe UI"/>
          <w:sz w:val="17"/>
          <w:szCs w:val="17"/>
        </w:rPr>
        <w:t>Sri Lanka’s mobility landscape is undergoing a structural shift driven by digitalization, urbanization, and gaps in transport capacity, leading</w:t>
      </w:r>
      <w:r>
        <w:rPr>
          <w:rFonts w:ascii="Segoe UI" w:hAnsi="Segoe UI" w:cs="Segoe UI"/>
          <w:sz w:val="17"/>
          <w:szCs w:val="17"/>
        </w:rPr>
        <w:t xml:space="preserve"> to an estimated 174.0% increase in</w:t>
      </w:r>
      <w:r w:rsidRPr="00554C2B">
        <w:rPr>
          <w:rFonts w:ascii="Segoe UI" w:hAnsi="Segoe UI" w:cs="Segoe UI"/>
          <w:sz w:val="17"/>
          <w:szCs w:val="17"/>
        </w:rPr>
        <w:t xml:space="preserve"> ride-hailing </w:t>
      </w:r>
      <w:r>
        <w:rPr>
          <w:rFonts w:ascii="Segoe UI" w:hAnsi="Segoe UI" w:cs="Segoe UI"/>
          <w:sz w:val="17"/>
          <w:szCs w:val="17"/>
        </w:rPr>
        <w:t>market value</w:t>
      </w:r>
      <w:r w:rsidRPr="00554C2B">
        <w:rPr>
          <w:rFonts w:ascii="Segoe UI" w:hAnsi="Segoe UI" w:cs="Segoe UI"/>
          <w:sz w:val="17"/>
          <w:szCs w:val="17"/>
        </w:rPr>
        <w:t xml:space="preserve"> by FY30E. To meet this demand, the government plans to develop 15 multimodal hubs by FY27E, serving 2.1</w:t>
      </w:r>
      <w:r>
        <w:rPr>
          <w:rFonts w:ascii="Segoe UI" w:hAnsi="Segoe UI" w:cs="Segoe UI"/>
          <w:sz w:val="17"/>
          <w:szCs w:val="17"/>
        </w:rPr>
        <w:t>0Bn</w:t>
      </w:r>
      <w:r w:rsidRPr="00554C2B">
        <w:rPr>
          <w:rFonts w:ascii="Segoe UI" w:hAnsi="Segoe UI" w:cs="Segoe UI"/>
          <w:sz w:val="17"/>
          <w:szCs w:val="17"/>
        </w:rPr>
        <w:t xml:space="preserve"> annual trips, with 9 located in PKME’s strongest regions. Since 1 in 7 global ride-hailing trips occur near multimodal hubs, their introduction will meaningfully expand the addressable marke</w:t>
      </w:r>
      <w:r>
        <w:rPr>
          <w:rFonts w:ascii="Segoe UI" w:hAnsi="Segoe UI" w:cs="Segoe UI"/>
          <w:sz w:val="17"/>
          <w:szCs w:val="17"/>
        </w:rPr>
        <w:t xml:space="preserve">t </w:t>
      </w:r>
      <w:r w:rsidRPr="009134D5">
        <w:rPr>
          <w:rFonts w:ascii="Segoe UI" w:hAnsi="Segoe UI" w:cs="Segoe UI"/>
          <w:b/>
          <w:bCs/>
          <w:sz w:val="17"/>
          <w:szCs w:val="17"/>
        </w:rPr>
        <w:t>(</w:t>
      </w:r>
      <w:r w:rsidRPr="009134D5">
        <w:rPr>
          <w:rFonts w:ascii="Segoe UI" w:hAnsi="Segoe UI" w:cs="Segoe UI"/>
          <w:b/>
          <w:bCs/>
          <w:sz w:val="17"/>
          <w:szCs w:val="17"/>
        </w:rPr>
        <w:fldChar w:fldCharType="begin"/>
      </w:r>
      <w:r w:rsidRPr="009134D5">
        <w:rPr>
          <w:rFonts w:ascii="Segoe UI" w:hAnsi="Segoe UI" w:cs="Segoe UI"/>
          <w:b/>
          <w:bCs/>
          <w:sz w:val="17"/>
          <w:szCs w:val="17"/>
        </w:rPr>
        <w:instrText xml:space="preserve"> REF _Ref216901639 \h </w:instrText>
      </w:r>
      <w:r>
        <w:rPr>
          <w:rFonts w:ascii="Segoe UI" w:hAnsi="Segoe UI" w:cs="Segoe UI"/>
          <w:b/>
          <w:bCs/>
          <w:sz w:val="17"/>
          <w:szCs w:val="17"/>
        </w:rPr>
        <w:instrText xml:space="preserve"> \* MERGEFORMAT </w:instrText>
      </w:r>
      <w:r w:rsidRPr="009134D5">
        <w:rPr>
          <w:rFonts w:ascii="Segoe UI" w:hAnsi="Segoe UI" w:cs="Segoe UI"/>
          <w:b/>
          <w:bCs/>
          <w:sz w:val="17"/>
          <w:szCs w:val="17"/>
        </w:rPr>
      </w:r>
      <w:r w:rsidRPr="009134D5">
        <w:rPr>
          <w:rFonts w:ascii="Segoe UI" w:hAnsi="Segoe UI" w:cs="Segoe UI"/>
          <w:b/>
          <w:bCs/>
          <w:sz w:val="17"/>
          <w:szCs w:val="17"/>
        </w:rPr>
        <w:fldChar w:fldCharType="separate"/>
      </w:r>
      <w:r w:rsidRPr="009134D5">
        <w:rPr>
          <w:rFonts w:ascii="Segoe UI" w:hAnsi="Segoe UI" w:cs="Segoe UI"/>
          <w:b/>
          <w:bCs/>
          <w:sz w:val="17"/>
          <w:szCs w:val="17"/>
        </w:rPr>
        <w:t>Figure 6</w:t>
      </w:r>
      <w:r w:rsidRPr="009134D5">
        <w:rPr>
          <w:rFonts w:ascii="Segoe UI" w:hAnsi="Segoe UI" w:cs="Segoe UI"/>
          <w:b/>
          <w:bCs/>
          <w:sz w:val="17"/>
          <w:szCs w:val="17"/>
        </w:rPr>
        <w:fldChar w:fldCharType="end"/>
      </w:r>
      <w:r w:rsidRPr="009134D5">
        <w:rPr>
          <w:rFonts w:ascii="Segoe UI" w:hAnsi="Segoe UI" w:cs="Segoe UI"/>
          <w:b/>
          <w:bCs/>
          <w:sz w:val="17"/>
          <w:szCs w:val="17"/>
        </w:rPr>
        <w:t>)</w:t>
      </w:r>
      <w:r w:rsidRPr="009134D5">
        <w:rPr>
          <w:rFonts w:ascii="Segoe UI" w:hAnsi="Segoe UI" w:cs="Segoe UI"/>
          <w:sz w:val="17"/>
          <w:szCs w:val="17"/>
        </w:rPr>
        <w:t>.</w:t>
      </w:r>
      <w:r w:rsidRPr="00554C2B">
        <w:rPr>
          <w:rFonts w:ascii="Segoe UI" w:hAnsi="Segoe UI" w:cs="Segoe UI"/>
          <w:sz w:val="17"/>
          <w:szCs w:val="17"/>
        </w:rPr>
        <w:t xml:space="preserve"> In addition, the commercialization of private vehicles is expected to generate 1.1</w:t>
      </w:r>
      <w:r>
        <w:rPr>
          <w:rFonts w:ascii="Segoe UI" w:hAnsi="Segoe UI" w:cs="Segoe UI"/>
          <w:sz w:val="17"/>
          <w:szCs w:val="17"/>
        </w:rPr>
        <w:t>0</w:t>
      </w:r>
      <w:r w:rsidRPr="00554C2B">
        <w:rPr>
          <w:rFonts w:ascii="Segoe UI" w:hAnsi="Segoe UI" w:cs="Segoe UI"/>
          <w:sz w:val="17"/>
          <w:szCs w:val="17"/>
        </w:rPr>
        <w:t>Bn annual trips, further widening mobility demand. PKME’s 13:1 user-to-driver density and 5</w:t>
      </w:r>
      <w:r>
        <w:rPr>
          <w:rFonts w:ascii="Segoe UI" w:hAnsi="Segoe UI" w:cs="Segoe UI"/>
          <w:sz w:val="17"/>
          <w:szCs w:val="17"/>
        </w:rPr>
        <w:t>.00KM</w:t>
      </w:r>
      <w:r w:rsidRPr="00554C2B">
        <w:rPr>
          <w:rFonts w:ascii="Segoe UI" w:hAnsi="Segoe UI" w:cs="Segoe UI"/>
          <w:sz w:val="17"/>
          <w:szCs w:val="17"/>
        </w:rPr>
        <w:t xml:space="preserve"> average trip distance highlights strong operational efficiency and alignment with short-haul demand around transit hubs. With only 3</w:t>
      </w:r>
      <w:r>
        <w:rPr>
          <w:rFonts w:ascii="Segoe UI" w:hAnsi="Segoe UI" w:cs="Segoe UI"/>
          <w:sz w:val="17"/>
          <w:szCs w:val="17"/>
        </w:rPr>
        <w:t>.0</w:t>
      </w:r>
      <w:r w:rsidRPr="00554C2B">
        <w:rPr>
          <w:rFonts w:ascii="Segoe UI" w:hAnsi="Segoe UI" w:cs="Segoe UI"/>
          <w:sz w:val="17"/>
          <w:szCs w:val="17"/>
        </w:rPr>
        <w:t>%</w:t>
      </w:r>
      <w:r>
        <w:rPr>
          <w:rFonts w:ascii="Segoe UI" w:hAnsi="Segoe UI" w:cs="Segoe UI"/>
          <w:sz w:val="17"/>
          <w:szCs w:val="17"/>
        </w:rPr>
        <w:t xml:space="preserve"> market </w:t>
      </w:r>
      <w:r w:rsidRPr="00554C2B">
        <w:rPr>
          <w:rFonts w:ascii="Segoe UI" w:hAnsi="Segoe UI" w:cs="Segoe UI"/>
          <w:sz w:val="17"/>
          <w:szCs w:val="17"/>
        </w:rPr>
        <w:t>penetration</w:t>
      </w:r>
      <w:r>
        <w:rPr>
          <w:rFonts w:ascii="Segoe UI" w:hAnsi="Segoe UI" w:cs="Segoe UI"/>
          <w:sz w:val="17"/>
          <w:szCs w:val="17"/>
        </w:rPr>
        <w:t xml:space="preserve"> of Sri Lanka’s total mobility demand</w:t>
      </w:r>
      <w:r w:rsidRPr="00554C2B">
        <w:rPr>
          <w:rFonts w:ascii="Segoe UI" w:hAnsi="Segoe UI" w:cs="Segoe UI"/>
          <w:sz w:val="17"/>
          <w:szCs w:val="17"/>
        </w:rPr>
        <w:t>, PKME is well positioned to capture this incremental demand, enabling it to comfortably reinforce its leadership position and expand market share</w:t>
      </w:r>
      <w:r>
        <w:rPr>
          <w:rFonts w:ascii="Segoe UI" w:hAnsi="Segoe UI" w:cs="Segoe UI"/>
          <w:sz w:val="17"/>
          <w:szCs w:val="17"/>
        </w:rPr>
        <w:t xml:space="preserve"> of ride- hailing</w:t>
      </w:r>
      <w:r w:rsidRPr="00554C2B">
        <w:rPr>
          <w:rFonts w:ascii="Segoe UI" w:hAnsi="Segoe UI" w:cs="Segoe UI"/>
          <w:sz w:val="17"/>
          <w:szCs w:val="17"/>
        </w:rPr>
        <w:t xml:space="preserve"> from 70</w:t>
      </w:r>
      <w:r>
        <w:rPr>
          <w:rFonts w:ascii="Segoe UI" w:hAnsi="Segoe UI" w:cs="Segoe UI"/>
          <w:sz w:val="17"/>
          <w:szCs w:val="17"/>
        </w:rPr>
        <w:t>.0</w:t>
      </w:r>
      <w:r w:rsidRPr="00554C2B">
        <w:rPr>
          <w:rFonts w:ascii="Segoe UI" w:hAnsi="Segoe UI" w:cs="Segoe UI"/>
          <w:sz w:val="17"/>
          <w:szCs w:val="17"/>
        </w:rPr>
        <w:t>% to 81</w:t>
      </w:r>
      <w:r>
        <w:rPr>
          <w:rFonts w:ascii="Segoe UI" w:hAnsi="Segoe UI" w:cs="Segoe UI"/>
          <w:sz w:val="17"/>
          <w:szCs w:val="17"/>
        </w:rPr>
        <w:t>.0</w:t>
      </w:r>
      <w:r w:rsidRPr="00554C2B">
        <w:rPr>
          <w:rFonts w:ascii="Segoe UI" w:hAnsi="Segoe UI" w:cs="Segoe UI"/>
          <w:sz w:val="17"/>
          <w:szCs w:val="17"/>
        </w:rPr>
        <w:t>% by FY30E</w:t>
      </w:r>
      <w:r w:rsidRPr="00027CB5">
        <w:rPr>
          <w:rFonts w:ascii="Segoe UI" w:hAnsi="Segoe UI" w:cs="Segoe UI"/>
          <w:sz w:val="17"/>
          <w:szCs w:val="17"/>
        </w:rPr>
        <w:t>.</w:t>
      </w:r>
    </w:p>
    <w:p w14:paraId="379C5DAB" w14:textId="77777777" w:rsidR="00A97A80" w:rsidRPr="005F1E93" w:rsidRDefault="00A97A80" w:rsidP="00A97A80">
      <w:pPr>
        <w:spacing w:after="0"/>
        <w:jc w:val="both"/>
        <w:rPr>
          <w:rFonts w:ascii="Segoe UI" w:hAnsi="Segoe UI" w:cs="Segoe UI"/>
          <w:b/>
          <w:sz w:val="18"/>
          <w:szCs w:val="18"/>
        </w:rPr>
      </w:pPr>
      <w:r w:rsidRPr="005F1E93">
        <w:rPr>
          <w:rFonts w:ascii="Segoe UI" w:hAnsi="Segoe UI" w:cs="Segoe UI"/>
          <w:b/>
          <w:sz w:val="18"/>
          <w:szCs w:val="18"/>
        </w:rPr>
        <w:t xml:space="preserve">Thesis #3: </w:t>
      </w:r>
      <w:r w:rsidRPr="00016B97">
        <w:rPr>
          <w:rFonts w:ascii="Segoe UI" w:hAnsi="Segoe UI" w:cs="Segoe UI"/>
          <w:b/>
          <w:sz w:val="18"/>
          <w:szCs w:val="18"/>
        </w:rPr>
        <w:t>PKME’s Competitive Advantage Underpins a Defensible Moat through Diversification, Technological Edge, and Cost Leadership</w:t>
      </w:r>
    </w:p>
    <w:p w14:paraId="04C23806" w14:textId="046640EC" w:rsidR="00A97A80" w:rsidRPr="00554C2B" w:rsidRDefault="00A97A80" w:rsidP="00A97A80">
      <w:pPr>
        <w:spacing w:after="0" w:line="240" w:lineRule="auto"/>
        <w:jc w:val="both"/>
        <w:rPr>
          <w:rFonts w:ascii="Segoe UI" w:hAnsi="Segoe UI" w:cs="Segoe UI"/>
          <w:sz w:val="17"/>
          <w:szCs w:val="17"/>
        </w:rPr>
      </w:pPr>
      <w:r w:rsidRPr="00554C2B">
        <w:rPr>
          <w:rFonts w:ascii="Segoe UI" w:hAnsi="Segoe UI" w:cs="Segoe UI"/>
          <w:sz w:val="17"/>
          <w:szCs w:val="17"/>
        </w:rPr>
        <w:t xml:space="preserve">PKME holds a strong and defensible position in Sri Lanka’s passenger mobility market despite relatively low barriers to entry. Its diversified platform across </w:t>
      </w:r>
      <w:r>
        <w:rPr>
          <w:rFonts w:ascii="Segoe UI" w:hAnsi="Segoe UI" w:cs="Segoe UI"/>
          <w:sz w:val="17"/>
          <w:szCs w:val="17"/>
        </w:rPr>
        <w:t>R</w:t>
      </w:r>
      <w:r w:rsidRPr="00554C2B">
        <w:rPr>
          <w:rFonts w:ascii="Segoe UI" w:hAnsi="Segoe UI" w:cs="Segoe UI"/>
          <w:sz w:val="17"/>
          <w:szCs w:val="17"/>
        </w:rPr>
        <w:t xml:space="preserve">ide-Hailing, Delivery, and Experiences enhances </w:t>
      </w:r>
      <w:r>
        <w:rPr>
          <w:rFonts w:ascii="Segoe UI" w:hAnsi="Segoe UI" w:cs="Segoe UI"/>
          <w:sz w:val="17"/>
          <w:szCs w:val="17"/>
        </w:rPr>
        <w:t>user</w:t>
      </w:r>
      <w:r w:rsidRPr="00554C2B">
        <w:rPr>
          <w:rFonts w:ascii="Segoe UI" w:hAnsi="Segoe UI" w:cs="Segoe UI"/>
          <w:sz w:val="17"/>
          <w:szCs w:val="17"/>
        </w:rPr>
        <w:t xml:space="preserve"> stickiness and resilience to demand shifts, reinforcing market leadership </w:t>
      </w:r>
      <w:r w:rsidRPr="00B121EE">
        <w:rPr>
          <w:rFonts w:ascii="Segoe UI" w:hAnsi="Segoe UI" w:cs="Segoe UI"/>
          <w:b/>
          <w:bCs/>
          <w:sz w:val="17"/>
          <w:szCs w:val="17"/>
        </w:rPr>
        <w:t>(</w:t>
      </w:r>
      <w:r w:rsidRPr="00B121EE">
        <w:rPr>
          <w:rFonts w:ascii="Segoe UI" w:hAnsi="Segoe UI" w:cs="Segoe UI"/>
          <w:b/>
          <w:bCs/>
          <w:sz w:val="17"/>
          <w:szCs w:val="17"/>
        </w:rPr>
        <w:fldChar w:fldCharType="begin"/>
      </w:r>
      <w:r w:rsidRPr="00B121EE">
        <w:rPr>
          <w:rFonts w:ascii="Segoe UI" w:hAnsi="Segoe UI" w:cs="Segoe UI"/>
          <w:b/>
          <w:bCs/>
          <w:sz w:val="17"/>
          <w:szCs w:val="17"/>
        </w:rPr>
        <w:instrText xml:space="preserve"> REF _Ref216901929 \h  \* MERGEFORMAT </w:instrText>
      </w:r>
      <w:r w:rsidRPr="00B121EE">
        <w:rPr>
          <w:rFonts w:ascii="Segoe UI" w:hAnsi="Segoe UI" w:cs="Segoe UI"/>
          <w:b/>
          <w:bCs/>
          <w:sz w:val="17"/>
          <w:szCs w:val="17"/>
        </w:rPr>
      </w:r>
      <w:r w:rsidRPr="00B121EE">
        <w:rPr>
          <w:rFonts w:ascii="Segoe UI" w:hAnsi="Segoe UI" w:cs="Segoe UI"/>
          <w:b/>
          <w:bCs/>
          <w:sz w:val="17"/>
          <w:szCs w:val="17"/>
        </w:rPr>
        <w:fldChar w:fldCharType="separate"/>
      </w:r>
      <w:r w:rsidRPr="00E03EF8">
        <w:rPr>
          <w:b/>
          <w:bCs/>
          <w:sz w:val="17"/>
          <w:szCs w:val="17"/>
        </w:rPr>
        <w:t xml:space="preserve">Figure </w:t>
      </w:r>
      <w:r w:rsidRPr="00E03EF8">
        <w:rPr>
          <w:b/>
          <w:bCs/>
          <w:noProof/>
          <w:sz w:val="17"/>
          <w:szCs w:val="17"/>
        </w:rPr>
        <w:t>7</w:t>
      </w:r>
      <w:r w:rsidRPr="00B121EE">
        <w:rPr>
          <w:rFonts w:ascii="Segoe UI" w:hAnsi="Segoe UI" w:cs="Segoe UI"/>
          <w:b/>
          <w:bCs/>
          <w:sz w:val="17"/>
          <w:szCs w:val="17"/>
        </w:rPr>
        <w:fldChar w:fldCharType="end"/>
      </w:r>
      <w:r w:rsidRPr="00B121EE">
        <w:rPr>
          <w:rFonts w:ascii="Segoe UI" w:hAnsi="Segoe UI" w:cs="Segoe UI"/>
          <w:b/>
          <w:bCs/>
          <w:sz w:val="17"/>
          <w:szCs w:val="17"/>
        </w:rPr>
        <w:t>)</w:t>
      </w:r>
      <w:r>
        <w:rPr>
          <w:rFonts w:ascii="Segoe UI" w:hAnsi="Segoe UI" w:cs="Segoe UI"/>
          <w:b/>
          <w:bCs/>
          <w:sz w:val="17"/>
          <w:szCs w:val="17"/>
        </w:rPr>
        <w:t>.</w:t>
      </w:r>
      <w:r w:rsidRPr="00554C2B">
        <w:rPr>
          <w:rFonts w:ascii="Segoe UI" w:hAnsi="Segoe UI" w:cs="Segoe UI"/>
          <w:sz w:val="17"/>
          <w:szCs w:val="17"/>
        </w:rPr>
        <w:t xml:space="preserve"> Unlike peers relying on bid-only or basic pricing models, PKME’s algorithm</w:t>
      </w:r>
      <w:r>
        <w:rPr>
          <w:rFonts w:ascii="Segoe UI" w:hAnsi="Segoe UI" w:cs="Segoe UI"/>
          <w:sz w:val="17"/>
          <w:szCs w:val="17"/>
        </w:rPr>
        <w:t xml:space="preserve"> plus bid</w:t>
      </w:r>
      <w:r w:rsidRPr="00554C2B">
        <w:rPr>
          <w:rFonts w:ascii="Segoe UI" w:hAnsi="Segoe UI" w:cs="Segoe UI"/>
          <w:sz w:val="17"/>
          <w:szCs w:val="17"/>
        </w:rPr>
        <w:t xml:space="preserve"> system enables superior matching efficiency and more stable pricing outcomes </w:t>
      </w:r>
      <w:r w:rsidRPr="006B736D">
        <w:rPr>
          <w:rFonts w:ascii="Segoe UI" w:hAnsi="Segoe UI" w:cs="Segoe UI"/>
          <w:b/>
          <w:bCs/>
          <w:sz w:val="17"/>
          <w:szCs w:val="17"/>
        </w:rPr>
        <w:t>(</w:t>
      </w:r>
      <w:r w:rsidRPr="006B736D">
        <w:rPr>
          <w:rFonts w:ascii="Segoe UI" w:hAnsi="Segoe UI" w:cs="Segoe UI"/>
          <w:b/>
          <w:bCs/>
          <w:sz w:val="17"/>
          <w:szCs w:val="17"/>
        </w:rPr>
        <w:fldChar w:fldCharType="begin"/>
      </w:r>
      <w:r w:rsidRPr="006B736D">
        <w:rPr>
          <w:rFonts w:ascii="Segoe UI" w:hAnsi="Segoe UI" w:cs="Segoe UI"/>
          <w:b/>
          <w:bCs/>
          <w:sz w:val="17"/>
          <w:szCs w:val="17"/>
        </w:rPr>
        <w:instrText xml:space="preserve"> REF _Ref216902026 \h  \* MERGEFORMAT </w:instrText>
      </w:r>
      <w:r w:rsidRPr="006B736D">
        <w:rPr>
          <w:rFonts w:ascii="Segoe UI" w:hAnsi="Segoe UI" w:cs="Segoe UI"/>
          <w:b/>
          <w:bCs/>
          <w:sz w:val="17"/>
          <w:szCs w:val="17"/>
        </w:rPr>
      </w:r>
      <w:r w:rsidRPr="006B736D">
        <w:rPr>
          <w:rFonts w:ascii="Segoe UI" w:hAnsi="Segoe UI" w:cs="Segoe UI"/>
          <w:b/>
          <w:bCs/>
          <w:sz w:val="17"/>
          <w:szCs w:val="17"/>
        </w:rPr>
        <w:fldChar w:fldCharType="separate"/>
      </w:r>
      <w:r w:rsidRPr="00E03EF8">
        <w:rPr>
          <w:b/>
          <w:bCs/>
          <w:sz w:val="17"/>
          <w:szCs w:val="17"/>
        </w:rPr>
        <w:t xml:space="preserve">Figure </w:t>
      </w:r>
      <w:r w:rsidRPr="00E03EF8">
        <w:rPr>
          <w:b/>
          <w:bCs/>
          <w:noProof/>
          <w:sz w:val="17"/>
          <w:szCs w:val="17"/>
        </w:rPr>
        <w:t>8</w:t>
      </w:r>
      <w:r w:rsidRPr="006B736D">
        <w:rPr>
          <w:rFonts w:ascii="Segoe UI" w:hAnsi="Segoe UI" w:cs="Segoe UI"/>
          <w:b/>
          <w:bCs/>
          <w:sz w:val="17"/>
          <w:szCs w:val="17"/>
        </w:rPr>
        <w:fldChar w:fldCharType="end"/>
      </w:r>
      <w:r w:rsidRPr="006B736D">
        <w:rPr>
          <w:rFonts w:ascii="Segoe UI" w:hAnsi="Segoe UI" w:cs="Segoe UI"/>
          <w:b/>
          <w:bCs/>
          <w:sz w:val="17"/>
          <w:szCs w:val="17"/>
        </w:rPr>
        <w:t>)</w:t>
      </w:r>
      <w:r w:rsidRPr="006B736D">
        <w:rPr>
          <w:rFonts w:ascii="Segoe UI" w:hAnsi="Segoe UI" w:cs="Segoe UI"/>
          <w:sz w:val="17"/>
          <w:szCs w:val="17"/>
        </w:rPr>
        <w:t>.</w:t>
      </w:r>
      <w:r w:rsidRPr="00554C2B">
        <w:rPr>
          <w:rFonts w:ascii="Segoe UI" w:hAnsi="Segoe UI" w:cs="Segoe UI"/>
          <w:sz w:val="17"/>
          <w:szCs w:val="17"/>
        </w:rPr>
        <w:t xml:space="preserve"> Supported by cloud-based architecture and automated dispatch, the platform has reduced passenger waiting times by 11</w:t>
      </w:r>
      <w:r>
        <w:rPr>
          <w:rFonts w:ascii="Segoe UI" w:hAnsi="Segoe UI" w:cs="Segoe UI"/>
          <w:sz w:val="17"/>
          <w:szCs w:val="17"/>
        </w:rPr>
        <w:t>.0</w:t>
      </w:r>
      <w:r w:rsidRPr="00554C2B">
        <w:rPr>
          <w:rFonts w:ascii="Segoe UI" w:hAnsi="Segoe UI" w:cs="Segoe UI"/>
          <w:sz w:val="17"/>
          <w:szCs w:val="17"/>
        </w:rPr>
        <w:t>% while improving driver utilization, underpinned by annual technology investments exceeding LKR 1.0</w:t>
      </w:r>
      <w:r>
        <w:rPr>
          <w:rFonts w:ascii="Segoe UI" w:hAnsi="Segoe UI" w:cs="Segoe UI"/>
          <w:sz w:val="17"/>
          <w:szCs w:val="17"/>
        </w:rPr>
        <w:t>0</w:t>
      </w:r>
      <w:r w:rsidRPr="00554C2B">
        <w:rPr>
          <w:rFonts w:ascii="Segoe UI" w:hAnsi="Segoe UI" w:cs="Segoe UI"/>
          <w:sz w:val="17"/>
          <w:szCs w:val="17"/>
        </w:rPr>
        <w:t>Bn. Survey evidence further validates its moat, with industry-leading rider and driver satisfaction of 76</w:t>
      </w:r>
      <w:r>
        <w:rPr>
          <w:rFonts w:ascii="Segoe UI" w:hAnsi="Segoe UI" w:cs="Segoe UI"/>
          <w:sz w:val="17"/>
          <w:szCs w:val="17"/>
        </w:rPr>
        <w:t>.0</w:t>
      </w:r>
      <w:r w:rsidRPr="00554C2B">
        <w:rPr>
          <w:rFonts w:ascii="Segoe UI" w:hAnsi="Segoe UI" w:cs="Segoe UI"/>
          <w:sz w:val="17"/>
          <w:szCs w:val="17"/>
        </w:rPr>
        <w:t>% and 78</w:t>
      </w:r>
      <w:r>
        <w:rPr>
          <w:rFonts w:ascii="Segoe UI" w:hAnsi="Segoe UI" w:cs="Segoe UI"/>
          <w:sz w:val="17"/>
          <w:szCs w:val="17"/>
        </w:rPr>
        <w:t>.0</w:t>
      </w:r>
      <w:r w:rsidRPr="00554C2B">
        <w:rPr>
          <w:rFonts w:ascii="Segoe UI" w:hAnsi="Segoe UI" w:cs="Segoe UI"/>
          <w:sz w:val="17"/>
          <w:szCs w:val="17"/>
        </w:rPr>
        <w:t xml:space="preserve">%, respectively, strengthening the self-reinforcing network effect </w:t>
      </w:r>
      <w:r w:rsidRPr="00A02BE6">
        <w:rPr>
          <w:rFonts w:ascii="Segoe UI" w:hAnsi="Segoe UI" w:cs="Segoe UI"/>
          <w:b/>
          <w:bCs/>
          <w:sz w:val="17"/>
          <w:szCs w:val="17"/>
        </w:rPr>
        <w:t>(</w:t>
      </w:r>
      <w:r w:rsidRPr="00A02BE6">
        <w:rPr>
          <w:rFonts w:ascii="Segoe UI" w:hAnsi="Segoe UI" w:cs="Segoe UI"/>
          <w:b/>
          <w:bCs/>
          <w:sz w:val="17"/>
          <w:szCs w:val="17"/>
        </w:rPr>
        <w:fldChar w:fldCharType="begin"/>
      </w:r>
      <w:r w:rsidRPr="00A02BE6">
        <w:rPr>
          <w:rFonts w:ascii="Segoe UI" w:hAnsi="Segoe UI" w:cs="Segoe UI"/>
          <w:b/>
          <w:bCs/>
          <w:sz w:val="17"/>
          <w:szCs w:val="17"/>
        </w:rPr>
        <w:instrText xml:space="preserve"> REF _Ref216902139 \h  \* MERGEFORMAT </w:instrText>
      </w:r>
      <w:r w:rsidRPr="00A02BE6">
        <w:rPr>
          <w:rFonts w:ascii="Segoe UI" w:hAnsi="Segoe UI" w:cs="Segoe UI"/>
          <w:b/>
          <w:bCs/>
          <w:sz w:val="17"/>
          <w:szCs w:val="17"/>
        </w:rPr>
      </w:r>
      <w:r w:rsidRPr="00A02BE6">
        <w:rPr>
          <w:rFonts w:ascii="Segoe UI" w:hAnsi="Segoe UI" w:cs="Segoe UI"/>
          <w:b/>
          <w:bCs/>
          <w:sz w:val="17"/>
          <w:szCs w:val="17"/>
        </w:rPr>
        <w:fldChar w:fldCharType="separate"/>
      </w:r>
      <w:r w:rsidRPr="00E03EF8">
        <w:rPr>
          <w:b/>
          <w:bCs/>
          <w:sz w:val="17"/>
          <w:szCs w:val="17"/>
        </w:rPr>
        <w:t xml:space="preserve">Figure </w:t>
      </w:r>
      <w:r w:rsidRPr="00E03EF8">
        <w:rPr>
          <w:b/>
          <w:bCs/>
          <w:noProof/>
          <w:sz w:val="17"/>
          <w:szCs w:val="17"/>
        </w:rPr>
        <w:t>9</w:t>
      </w:r>
      <w:r w:rsidRPr="00A02BE6">
        <w:rPr>
          <w:rFonts w:ascii="Segoe UI" w:hAnsi="Segoe UI" w:cs="Segoe UI"/>
          <w:b/>
          <w:bCs/>
          <w:sz w:val="17"/>
          <w:szCs w:val="17"/>
        </w:rPr>
        <w:fldChar w:fldCharType="end"/>
      </w:r>
      <w:r w:rsidRPr="00A02BE6">
        <w:rPr>
          <w:rFonts w:ascii="Segoe UI" w:hAnsi="Segoe UI" w:cs="Segoe UI"/>
          <w:b/>
          <w:bCs/>
          <w:sz w:val="17"/>
          <w:szCs w:val="17"/>
        </w:rPr>
        <w:t>)</w:t>
      </w:r>
      <w:r w:rsidRPr="007274B5">
        <w:rPr>
          <w:rFonts w:ascii="Segoe UI" w:hAnsi="Segoe UI" w:cs="Segoe UI"/>
          <w:b/>
          <w:bCs/>
          <w:sz w:val="17"/>
          <w:szCs w:val="17"/>
        </w:rPr>
        <w:t xml:space="preserve"> </w:t>
      </w:r>
      <w:hyperlink w:anchor="_Appendix_03:_Rider" w:history="1">
        <w:r w:rsidRPr="00BB255B">
          <w:rPr>
            <w:rFonts w:ascii="Segoe UI" w:hAnsi="Segoe UI" w:cs="Segoe UI"/>
            <w:b/>
            <w:bCs/>
            <w:sz w:val="17"/>
            <w:szCs w:val="17"/>
          </w:rPr>
          <w:t>(Appendix 03)</w:t>
        </w:r>
      </w:hyperlink>
      <w:r w:rsidRPr="00A02BE6">
        <w:rPr>
          <w:rFonts w:ascii="Segoe UI" w:hAnsi="Segoe UI" w:cs="Segoe UI"/>
          <w:sz w:val="17"/>
          <w:szCs w:val="17"/>
        </w:rPr>
        <w:t>.</w:t>
      </w:r>
      <w:r w:rsidRPr="00554C2B">
        <w:rPr>
          <w:rFonts w:ascii="Segoe UI" w:hAnsi="Segoe UI" w:cs="Segoe UI"/>
          <w:sz w:val="17"/>
          <w:szCs w:val="17"/>
        </w:rPr>
        <w:t xml:space="preserve"> Additionally, strong cash reserves provide flexibility to absorb short-term pricing pressure and adjust commissions,</w:t>
      </w:r>
      <w:r w:rsidRPr="00B16A0E">
        <w:rPr>
          <w:rFonts w:ascii="Segoe UI" w:hAnsi="Segoe UI" w:cs="Segoe UI"/>
          <w:sz w:val="17"/>
          <w:szCs w:val="17"/>
        </w:rPr>
        <w:t xml:space="preserve"> </w:t>
      </w:r>
      <w:r w:rsidRPr="00554C2B">
        <w:rPr>
          <w:rFonts w:ascii="Segoe UI" w:hAnsi="Segoe UI" w:cs="Segoe UI"/>
          <w:sz w:val="17"/>
          <w:szCs w:val="17"/>
        </w:rPr>
        <w:t xml:space="preserve">creating a cost buffer that raises barriers to entry. Collectively, these strengths underpin a durable competitive </w:t>
      </w:r>
      <w:proofErr w:type="gramStart"/>
      <w:r w:rsidRPr="00554C2B">
        <w:rPr>
          <w:rFonts w:ascii="Segoe UI" w:hAnsi="Segoe UI" w:cs="Segoe UI"/>
          <w:sz w:val="17"/>
          <w:szCs w:val="17"/>
        </w:rPr>
        <w:t>moat</w:t>
      </w:r>
      <w:proofErr w:type="gramEnd"/>
      <w:r w:rsidRPr="00554C2B">
        <w:rPr>
          <w:rFonts w:ascii="Segoe UI" w:hAnsi="Segoe UI" w:cs="Segoe UI"/>
          <w:sz w:val="17"/>
          <w:szCs w:val="17"/>
        </w:rPr>
        <w:t xml:space="preserve"> and support sustained long-term</w:t>
      </w:r>
      <w:r>
        <w:rPr>
          <w:rFonts w:ascii="Segoe UI" w:hAnsi="Segoe UI" w:cs="Segoe UI"/>
          <w:sz w:val="17"/>
          <w:szCs w:val="17"/>
        </w:rPr>
        <w:t xml:space="preserve"> market</w:t>
      </w:r>
      <w:r w:rsidRPr="00554C2B">
        <w:rPr>
          <w:rFonts w:ascii="Segoe UI" w:hAnsi="Segoe UI" w:cs="Segoe UI"/>
          <w:sz w:val="17"/>
          <w:szCs w:val="17"/>
        </w:rPr>
        <w:t xml:space="preserve"> leadership.</w:t>
      </w:r>
      <w:r w:rsidRPr="00535596">
        <w:rPr>
          <w:noProof/>
        </w:rPr>
        <w:t xml:space="preserve"> </w:t>
      </w:r>
      <w:r w:rsidRPr="00B619F4">
        <w:rPr>
          <w:noProof/>
        </w:rPr>
        <w:t xml:space="preserve"> </w:t>
      </w:r>
    </w:p>
    <w:bookmarkEnd w:id="0"/>
    <w:p w14:paraId="4AB79C16" w14:textId="77777777" w:rsidR="004B1884" w:rsidRDefault="004B1884"/>
    <w:sectPr w:rsidR="004B1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80"/>
    <w:rsid w:val="000A135B"/>
    <w:rsid w:val="000D76C6"/>
    <w:rsid w:val="0042326B"/>
    <w:rsid w:val="00442C4F"/>
    <w:rsid w:val="004B1884"/>
    <w:rsid w:val="00A97A80"/>
    <w:rsid w:val="00BB0223"/>
    <w:rsid w:val="00DC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A4B0"/>
  <w15:chartTrackingRefBased/>
  <w15:docId w15:val="{8D7E9C79-1B40-4684-97A3-AC98AB4B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A80"/>
  </w:style>
  <w:style w:type="paragraph" w:styleId="Heading1">
    <w:name w:val="heading 1"/>
    <w:basedOn w:val="Normal"/>
    <w:next w:val="Normal"/>
    <w:link w:val="Heading1Char"/>
    <w:uiPriority w:val="9"/>
    <w:qFormat/>
    <w:rsid w:val="00A9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9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97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A80"/>
    <w:rPr>
      <w:b/>
      <w:bCs/>
      <w:smallCaps/>
      <w:color w:val="2F5496" w:themeColor="accent1" w:themeShade="BF"/>
      <w:spacing w:val="5"/>
    </w:rPr>
  </w:style>
  <w:style w:type="paragraph" w:customStyle="1" w:styleId="H1">
    <w:name w:val="H1"/>
    <w:basedOn w:val="Normal"/>
    <w:link w:val="H1Char"/>
    <w:qFormat/>
    <w:rsid w:val="00A97A80"/>
    <w:pPr>
      <w:spacing w:line="259" w:lineRule="auto"/>
    </w:pPr>
    <w:rPr>
      <w:rFonts w:ascii="Segoe UI" w:eastAsia="Calibri" w:hAnsi="Segoe UI" w:cs="Times New Roman"/>
      <w:b/>
      <w:bCs/>
      <w:color w:val="000000" w:themeColor="text1"/>
      <w:kern w:val="0"/>
      <w14:ligatures w14:val="none"/>
    </w:rPr>
  </w:style>
  <w:style w:type="character" w:customStyle="1" w:styleId="H1Char">
    <w:name w:val="H1 Char"/>
    <w:basedOn w:val="DefaultParagraphFont"/>
    <w:link w:val="H1"/>
    <w:rsid w:val="00A97A80"/>
    <w:rPr>
      <w:rFonts w:ascii="Segoe UI" w:eastAsia="Calibri" w:hAnsi="Segoe UI" w:cs="Times New Roman"/>
      <w:b/>
      <w:bCs/>
      <w:color w:val="000000" w:themeColor="tex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97A80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97A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KME">
    <w:name w:val="PKME"/>
    <w:basedOn w:val="Heading4"/>
    <w:link w:val="PKMEChar"/>
    <w:qFormat/>
    <w:rsid w:val="00A97A80"/>
    <w:pPr>
      <w:jc w:val="center"/>
    </w:pPr>
    <w:rPr>
      <w:rFonts w:ascii="Segoe UI" w:hAnsi="Segoe UI" w:cs="Yu Mincho Light"/>
      <w:b/>
      <w:i w:val="0"/>
      <w:color w:val="000000" w:themeColor="text1"/>
      <w:kern w:val="0"/>
      <w:sz w:val="16"/>
      <w:szCs w:val="20"/>
      <w14:ligatures w14:val="none"/>
    </w:rPr>
  </w:style>
  <w:style w:type="character" w:customStyle="1" w:styleId="PKMEChar">
    <w:name w:val="PKME Char"/>
    <w:basedOn w:val="H1Char"/>
    <w:link w:val="PKME"/>
    <w:rsid w:val="00A97A80"/>
    <w:rPr>
      <w:rFonts w:ascii="Segoe UI" w:eastAsiaTheme="majorEastAsia" w:hAnsi="Segoe UI" w:cs="Yu Mincho Light"/>
      <w:b/>
      <w:bCs w:val="0"/>
      <w:iCs/>
      <w:color w:val="000000" w:themeColor="text1"/>
      <w:kern w:val="0"/>
      <w:sz w:val="16"/>
      <w:szCs w:val="20"/>
      <w14:ligatures w14:val="none"/>
    </w:rPr>
  </w:style>
  <w:style w:type="table" w:styleId="PlainTable3">
    <w:name w:val="Plain Table 3"/>
    <w:basedOn w:val="TableNormal"/>
    <w:uiPriority w:val="43"/>
    <w:rsid w:val="00A97A80"/>
    <w:pPr>
      <w:spacing w:after="0" w:line="240" w:lineRule="auto"/>
    </w:pPr>
    <w:tblPr>
      <w:tblStyleRowBandSize w:val="1"/>
      <w:tblStyleColBandSize w:val="1"/>
    </w:tblPr>
    <w:tcPr>
      <w:shd w:val="clear" w:color="auto" w:fill="auto"/>
    </w:tcPr>
    <w:tblStylePr w:type="firstRow">
      <w:rPr>
        <w:b/>
        <w:bCs/>
        <w:caps/>
      </w:rPr>
      <w:tblPr/>
      <w:tcPr>
        <w:tcBorders>
          <w:bottom w:val="single" w:sz="12" w:space="0" w:color="002060"/>
        </w:tcBorders>
        <w:shd w:val="clear" w:color="auto" w:fill="auto"/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721</Words>
  <Characters>4343</Characters>
  <Application>Microsoft Office Word</Application>
  <DocSecurity>0</DocSecurity>
  <Lines>90</Lines>
  <Paragraphs>17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FE/2021/003 - MEDUNGODA S.</dc:creator>
  <cp:keywords/>
  <dc:description/>
  <cp:lastModifiedBy>FE/2021/003 - MEDUNGODA S.</cp:lastModifiedBy>
  <cp:revision>1</cp:revision>
  <dcterms:created xsi:type="dcterms:W3CDTF">2025-12-19T02:24:00Z</dcterms:created>
  <dcterms:modified xsi:type="dcterms:W3CDTF">2025-12-19T02:26:00Z</dcterms:modified>
</cp:coreProperties>
</file>