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示例花园小区二期工程 施工合同（摘录·合成演示）</w:t>
      </w:r>
    </w:p>
    <w:p>
      <w:r>
        <w:t>本文件为程序生成的合成演示文档，全部条款内容均为虚构，不代表任何真实合同或业务结论。</w:t>
      </w:r>
    </w:p>
    <w:p>
      <w:pPr>
        <w:pStyle w:val="Heading1"/>
      </w:pPr>
      <w:r>
        <w:t>第一部分 合同价格形式</w:t>
      </w:r>
    </w:p>
    <w:p>
      <w:r>
        <w:t>1.1 本合同采用单价合同形式。综合单价包含人工费、材料费、机械费、管理费、利润和风险费用。</w:t>
      </w:r>
    </w:p>
    <w:p>
      <w:r>
        <w:t>1.2 综合单价在合同约定的风险范围内固定不变，超出范围时按合同专用条款第 3.2 款调整。</w:t>
      </w:r>
    </w:p>
    <w:p>
      <w:pPr>
        <w:pStyle w:val="Heading1"/>
      </w:pPr>
      <w:r>
        <w:t>第二部分 进度款与支付</w:t>
      </w:r>
    </w:p>
    <w:p>
      <w:r>
        <w:t>2.1 进度款按月支付，支付比例为当月经确认已完成工程量价款的 85%。</w:t>
      </w:r>
    </w:p>
    <w:p>
      <w:r>
        <w:t>2.2 发包人应在收到承包人付款申请后 14 天内完成审核并支付。</w:t>
      </w:r>
    </w:p>
    <w:p>
      <w:pPr>
        <w:pStyle w:val="Heading1"/>
      </w:pPr>
      <w:r>
        <w:t>第三部分 变更与估价</w:t>
      </w:r>
    </w:p>
    <w:p>
      <w:r>
        <w:t>3.1 变更估价参照已标价清单中相同或类似项目单价执行。</w:t>
      </w:r>
    </w:p>
    <w:p>
      <w:r>
        <w:t>3.2 已标价清单中无适用项目时，由双方按照成本加合理利润原则协商确定，并形成书面记录。</w:t>
      </w:r>
    </w:p>
    <w:p>
      <w:pPr>
        <w:pStyle w:val="Heading1"/>
      </w:pPr>
      <w:r>
        <w:t>第四部分 竣工结算</w:t>
      </w:r>
    </w:p>
    <w:p>
      <w:r>
        <w:t>4.1 承包人应在工程竣工验收合格后 28 天内提交竣工结算申请单及完整结算资料。</w:t>
      </w:r>
    </w:p>
    <w:p>
      <w:r>
        <w:t>4.2 发包人应在收到结算资料后 60 天内完成审核；逾期未提出异议的，视为认可承包人提交的结算文件。</w:t>
      </w:r>
    </w:p>
    <w:p>
      <w:pPr>
        <w:pStyle w:val="Heading1"/>
      </w:pPr>
      <w:r>
        <w:t>第五部分 质量保证金</w:t>
      </w:r>
    </w:p>
    <w:p>
      <w:r>
        <w:t>5.1 缺陷责任期为 24 个月，自工程实际竣工验收合格之日起计算。</w:t>
      </w:r>
    </w:p>
    <w:p>
      <w:r>
        <w:t>5.2 质量保证金按工程价款结算总额的 3% 预留，缺陷责任期满后 14 天内无息返还。</w:t>
      </w:r>
    </w:p>
    <w:p>
      <w:pPr>
        <w:pStyle w:val="Heading1"/>
      </w:pPr>
      <w:r>
        <w:t>第六部分 争议解决（合成条款）</w:t>
      </w:r>
    </w:p>
    <w:p>
      <w:r>
        <w:t>6.1 因本合同发生的争议，双方协商解决；协商不成的，提交示例市仲裁委员会仲裁（合成表述，非真实机构）。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CostGuard 合成演示数据生成器</dc:creator>
  <cp:keywords/>
  <dc:description>generated by python-docx</dc:description>
  <cp:lastModifiedBy>CostGuard 合成演示数据生成器</cp:lastModifiedBy>
  <cp:revision>1</cp:revision>
  <dcterms:created xsi:type="dcterms:W3CDTF">2026-01-01T00:00:00Z</dcterms:created>
  <dcterms:modified xsi:type="dcterms:W3CDTF">2026-01-01T00:00:00Z</dcterms:modified>
  <cp:category/>
</cp:coreProperties>
</file>