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10778448" cy="814037"/>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78448" cy="814037"/>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2382203</wp:posOffset>
                </wp:positionH>
                <wp:positionV relativeFrom="page">
                  <wp:posOffset>197168</wp:posOffset>
                </wp:positionV>
                <wp:extent cx="6078855" cy="553085"/>
                <wp:effectExtent b="0" l="0" r="0" t="0"/>
                <wp:wrapNone/>
                <wp:docPr id="2" name=""/>
                <a:graphic>
                  <a:graphicData uri="http://schemas.microsoft.com/office/word/2010/wordprocessingShape">
                    <wps:wsp>
                      <wps:cNvSpPr/>
                      <wps:cNvPr id="3" name="Shape 3"/>
                      <wps:spPr>
                        <a:xfrm>
                          <a:off x="2311335" y="3508220"/>
                          <a:ext cx="6069330" cy="543560"/>
                        </a:xfrm>
                        <a:custGeom>
                          <a:rect b="b" l="l" r="r" t="t"/>
                          <a:pathLst>
                            <a:path extrusionOk="0" h="543560" w="6069330">
                              <a:moveTo>
                                <a:pt x="0" y="0"/>
                              </a:moveTo>
                              <a:lnTo>
                                <a:pt x="0" y="543560"/>
                              </a:lnTo>
                              <a:lnTo>
                                <a:pt x="6069330" y="543560"/>
                              </a:lnTo>
                              <a:lnTo>
                                <a:pt x="6069330" y="0"/>
                              </a:lnTo>
                              <a:close/>
                            </a:path>
                          </a:pathLst>
                        </a:custGeom>
                        <a:no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Roboto" w:cs="Roboto" w:eastAsia="Roboto" w:hAnsi="Roboto"/>
                                <w:b w:val="0"/>
                                <w:i w:val="0"/>
                                <w:smallCaps w:val="0"/>
                                <w:strike w:val="0"/>
                                <w:color w:val="0f2b46"/>
                                <w:sz w:val="20"/>
                                <w:vertAlign w:val="baseline"/>
                              </w:rPr>
                              <w:t xml:space="preserve">Subscribe to DeepL Pro to edit this document.</w:t>
                            </w:r>
                            <w:r w:rsidDel="00000000" w:rsidR="00000000" w:rsidRPr="00000000">
                              <w:rPr>
                                <w:rFonts w:ascii="Aptos" w:cs="Aptos" w:eastAsia="Aptos" w:hAnsi="Aptos"/>
                                <w:b w:val="0"/>
                                <w:i w:val="0"/>
                                <w:smallCaps w:val="0"/>
                                <w:strike w:val="0"/>
                                <w:color w:val="000000"/>
                                <w:sz w:val="24"/>
                                <w:vertAlign w:val="baseline"/>
                              </w:rPr>
                              <w:br w:type="textWrapping"/>
                            </w:r>
                            <w:r w:rsidDel="00000000" w:rsidR="00000000" w:rsidRPr="00000000">
                              <w:rPr>
                                <w:rFonts w:ascii="Roboto" w:cs="Roboto" w:eastAsia="Roboto" w:hAnsi="Roboto"/>
                                <w:b w:val="0"/>
                                <w:i w:val="0"/>
                                <w:smallCaps w:val="0"/>
                                <w:strike w:val="0"/>
                                <w:color w:val="0f2b46"/>
                                <w:sz w:val="20"/>
                                <w:vertAlign w:val="baseline"/>
                              </w:rPr>
                              <w:t xml:space="preserve">Visit </w:t>
                            </w:r>
                            <w:r w:rsidDel="00000000" w:rsidR="00000000" w:rsidRPr="00000000">
                              <w:rPr>
                                <w:rFonts w:ascii="Roboto" w:cs="Roboto" w:eastAsia="Roboto" w:hAnsi="Roboto"/>
                                <w:b w:val="0"/>
                                <w:i w:val="0"/>
                                <w:smallCaps w:val="0"/>
                                <w:strike w:val="0"/>
                                <w:color w:val="006494"/>
                                <w:sz w:val="20"/>
                                <w:vertAlign w:val="baseline"/>
                              </w:rPr>
                              <w:t xml:space="preserve">www.DeepL.com/pro</w:t>
                            </w:r>
                            <w:r w:rsidDel="00000000" w:rsidR="00000000" w:rsidRPr="00000000">
                              <w:rPr>
                                <w:rFonts w:ascii="Roboto" w:cs="Roboto" w:eastAsia="Roboto" w:hAnsi="Roboto"/>
                                <w:b w:val="0"/>
                                <w:i w:val="0"/>
                                <w:smallCaps w:val="0"/>
                                <w:strike w:val="0"/>
                                <w:color w:val="0f2b46"/>
                                <w:sz w:val="20"/>
                                <w:vertAlign w:val="baseline"/>
                              </w:rPr>
                              <w:t xml:space="preserve"> for more information.</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2382203</wp:posOffset>
                </wp:positionH>
                <wp:positionV relativeFrom="page">
                  <wp:posOffset>197168</wp:posOffset>
                </wp:positionV>
                <wp:extent cx="6078855" cy="55308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078855" cy="55308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0" y="635000"/>
                              </a:lnTo>
                              <a:lnTo>
                                <a:pt x="635000" y="635000"/>
                              </a:lnTo>
                              <a:lnTo>
                                <a:pt x="635000" y="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Idea and client selection phase</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Before the business plan can be completed, the AI agent carries out the idea and client screening steps:</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Extracting the essence of an idea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6">
      <w:pPr>
        <w:numPr>
          <w:ilvl w:val="1"/>
          <w:numId w:val="1"/>
        </w:numPr>
        <w:spacing w:after="280" w:before="0" w:line="240" w:lineRule="auto"/>
        <w:ind w:left="1440" w:hanging="360"/>
        <w:rPr>
          <w:color w:val="000000"/>
        </w:rPr>
      </w:pPr>
      <w:commentRangeStart w:id="0"/>
      <w:commentRangeStart w:id="1"/>
      <w:r w:rsidDel="00000000" w:rsidR="00000000" w:rsidRPr="00000000">
        <w:rPr>
          <w:rFonts w:ascii="Times New Roman" w:cs="Times New Roman" w:eastAsia="Times New Roman" w:hAnsi="Times New Roman"/>
          <w:color w:val="000000"/>
          <w:rtl w:val="0"/>
        </w:rPr>
        <w:t xml:space="preserve">The AI analyses the transcript of the conversation</w:t>
      </w:r>
      <w:commentRangeStart w:id="2"/>
      <w:commentRangeStart w:id="3"/>
      <w:r w:rsidDel="00000000" w:rsidR="00000000" w:rsidRPr="00000000">
        <w:rPr>
          <w:rFonts w:ascii="Times New Roman" w:cs="Times New Roman" w:eastAsia="Times New Roman" w:hAnsi="Times New Roman"/>
          <w:color w:val="000000"/>
          <w:rtl w:val="0"/>
        </w:rPr>
        <w:t xml:space="preserve"> </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color w:val="000000"/>
          <w:rtl w:val="0"/>
        </w:rPr>
        <w:t xml:space="preserve"> or the questionnaire.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numPr>
          <w:ilvl w:val="0"/>
          <w:numId w:val="2"/>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Assessment of scientificity (Frascati test)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8">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The AI checks whether the idea meets the criteria for R&amp;D activities. https://www.oecd.org/en/publications/implementing-the-oecd-frascati-manual_d686818d-en.html</w:t>
      </w:r>
    </w:p>
    <w:p w:rsidR="00000000" w:rsidDel="00000000" w:rsidP="00000000" w:rsidRDefault="00000000" w:rsidRPr="00000000" w14:paraId="00000009">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If necessary, suggest how to transform the idea into an appropriate R&amp;D context.</w:t>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Analysis of newness in the market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B">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Checks for the existence of similar products using the patent, scientific article and market data databases</w:t>
      </w:r>
      <w:commentRangeStart w:id="4"/>
      <w:commentRangeStart w:id="5"/>
      <w:r w:rsidDel="00000000" w:rsidR="00000000" w:rsidRPr="00000000">
        <w:rPr>
          <w:rFonts w:ascii="Times New Roman" w:cs="Times New Roman" w:eastAsia="Times New Roman" w:hAnsi="Times New Roman"/>
          <w:color w:val="000000"/>
          <w:rtl w:val="0"/>
        </w:rPr>
        <w:t xml:space="preserve"> </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C">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If the market is saturated, ways of</w:t>
      </w:r>
      <w:commentRangeStart w:id="6"/>
      <w:commentRangeStart w:id="7"/>
      <w:r w:rsidDel="00000000" w:rsidR="00000000" w:rsidRPr="00000000">
        <w:rPr>
          <w:rFonts w:ascii="Times New Roman" w:cs="Times New Roman" w:eastAsia="Times New Roman" w:hAnsi="Times New Roman"/>
          <w:color w:val="000000"/>
          <w:rtl w:val="0"/>
        </w:rPr>
        <w:t xml:space="preserve"> differentiating</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color w:val="000000"/>
          <w:rtl w:val="0"/>
        </w:rPr>
        <w:t xml:space="preserve"> are suggested.</w:t>
      </w:r>
    </w:p>
    <w:p w:rsidR="00000000" w:rsidDel="00000000" w:rsidP="00000000" w:rsidRDefault="00000000" w:rsidRPr="00000000" w14:paraId="0000000D">
      <w:pPr>
        <w:numPr>
          <w:ilvl w:val="0"/>
          <w:numId w:val="2"/>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Eligibility check of the client (and partner if any)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E">
      <w:pPr>
        <w:numPr>
          <w:ilvl w:val="1"/>
          <w:numId w:val="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SME eligibility is checked in terms of shareholder structure, turnover, number of employees (data from the company, rekvizitai.lt, the system may offer to buy</w:t>
      </w:r>
      <w:commentRangeStart w:id="8"/>
      <w:commentRangeStart w:id="9"/>
      <w:r w:rsidDel="00000000" w:rsidR="00000000" w:rsidRPr="00000000">
        <w:rPr>
          <w:rFonts w:ascii="Times New Roman" w:cs="Times New Roman" w:eastAsia="Times New Roman" w:hAnsi="Times New Roman"/>
          <w:color w:val="000000"/>
          <w:rtl w:val="0"/>
        </w:rPr>
        <w:t xml:space="preserve"> SME declaration from the registry centre</w:t>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color w:val="000000"/>
          <w:rtl w:val="0"/>
        </w:rPr>
        <w:t xml:space="preserve"> and upload it).</w:t>
      </w:r>
    </w:p>
    <w:p w:rsidR="00000000" w:rsidDel="00000000" w:rsidP="00000000" w:rsidRDefault="00000000" w:rsidRPr="00000000" w14:paraId="0000000F">
      <w:pPr>
        <w:numPr>
          <w:ilvl w:val="1"/>
          <w:numId w:val="2"/>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If there is missing data, the AI agent asks for additional information or documents (profit and loss account, balance sheet, SME declaration).</w:t>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after these steps have been completed, the process of completing the business plan is started.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REM" w:cs="REM" w:eastAsia="REM" w:hAnsi="REM"/>
          <w:b w:val="1"/>
          <w:color w:val="000000"/>
          <w:sz w:val="36"/>
          <w:szCs w:val="36"/>
          <w:rtl w:val="0"/>
        </w:rPr>
        <w:t xml:space="preserve">✅</w:t>
      </w:r>
      <w:r w:rsidDel="00000000" w:rsidR="00000000" w:rsidRPr="00000000">
        <w:rPr>
          <w:rFonts w:ascii="Times New Roman" w:cs="Times New Roman" w:eastAsia="Times New Roman" w:hAnsi="Times New Roman"/>
          <w:b w:val="1"/>
          <w:color w:val="000000"/>
          <w:sz w:val="36"/>
          <w:szCs w:val="36"/>
          <w:rtl w:val="0"/>
        </w:rPr>
        <w:t xml:space="preserve"> Detailed path to completing a business plan (based on Inostarto template)</w:t>
      </w:r>
    </w:p>
    <w:p w:rsidR="00000000" w:rsidDel="00000000" w:rsidP="00000000" w:rsidRDefault="00000000" w:rsidRPr="00000000" w14:paraId="00000014">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Purpose: The </w:t>
      </w:r>
      <w:r w:rsidDel="00000000" w:rsidR="00000000" w:rsidRPr="00000000">
        <w:rPr>
          <w:rFonts w:ascii="Times New Roman" w:cs="Times New Roman" w:eastAsia="Times New Roman" w:hAnsi="Times New Roman"/>
          <w:color w:val="000000"/>
          <w:rtl w:val="0"/>
        </w:rPr>
        <w:t xml:space="preserve">AI agent automatically populates the entire document based on input, data retrieval and user interaction.</w:t>
      </w:r>
    </w:p>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REM" w:cs="REM" w:eastAsia="REM" w:hAnsi="REM"/>
          <w:b w:val="1"/>
          <w:color w:val="000000"/>
          <w:sz w:val="27"/>
          <w:szCs w:val="27"/>
          <w:rtl w:val="0"/>
        </w:rPr>
        <w:t xml:space="preserve">📋</w:t>
      </w:r>
      <w:r w:rsidDel="00000000" w:rsidR="00000000" w:rsidRPr="00000000">
        <w:rPr>
          <w:rFonts w:ascii="Times New Roman" w:cs="Times New Roman" w:eastAsia="Times New Roman" w:hAnsi="Times New Roman"/>
          <w:b w:val="1"/>
          <w:color w:val="000000"/>
          <w:sz w:val="27"/>
          <w:szCs w:val="27"/>
          <w:rtl w:val="0"/>
        </w:rPr>
        <w:t xml:space="preserve"> Recommended sequence for completing a business plan for the AI tool</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
        <w:gridCol w:w="1678"/>
        <w:gridCol w:w="6811"/>
        <w:tblGridChange w:id="0">
          <w:tblGrid>
            <w:gridCol w:w="527"/>
            <w:gridCol w:w="1678"/>
            <w:gridCol w:w="6811"/>
          </w:tblGrid>
        </w:tblGridChange>
      </w:tblGrid>
      <w:tr>
        <w:trPr>
          <w:cantSplit w:val="0"/>
          <w:tblHeader w:val="0"/>
        </w:trPr>
        <w:tc>
          <w:tcPr/>
          <w:p w:rsidR="00000000" w:rsidDel="00000000" w:rsidP="00000000" w:rsidRDefault="00000000" w:rsidRPr="00000000" w14:paraId="00000017">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p w:rsidR="00000000" w:rsidDel="00000000" w:rsidP="00000000" w:rsidRDefault="00000000" w:rsidRPr="00000000" w14:paraId="00000018">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Completes the point</w:t>
            </w:r>
          </w:p>
        </w:tc>
        <w:tc>
          <w:tcPr/>
          <w:p w:rsidR="00000000" w:rsidDel="00000000" w:rsidP="00000000" w:rsidRDefault="00000000" w:rsidRPr="00000000" w14:paraId="00000019">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Why first / who it helps</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4.4. National and international research</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basis for re-examining the idea according to the Frascati Manual, formulating the scientific problem, hypotheses and applications (4.3 and 3.1).</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4.3 Justification of R&amp;D activities</w:t>
            </w:r>
            <w:r w:rsidDel="00000000" w:rsidR="00000000" w:rsidRPr="00000000">
              <w:rPr>
                <w:rFonts w:ascii="Times New Roman" w:cs="Times New Roman" w:eastAsia="Times New Roman" w:hAnsi="Times New Roman"/>
                <w:color w:val="000000"/>
                <w:rtl w:val="0"/>
              </w:rPr>
              <w:t xml:space="preserve">(4.3.1-4.3.5)</w:t>
            </w:r>
          </w:p>
        </w:tc>
        <w:tc>
          <w:tcPr/>
          <w:p w:rsidR="00000000" w:rsidDel="00000000" w:rsidP="00000000" w:rsidRDefault="00000000" w:rsidRPr="00000000" w14:paraId="0000001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Based on the 4.4 studies, the following are developed: problem, hypothesis, uncertainties,</w:t>
            </w:r>
            <w:commentRangeStart w:id="10"/>
            <w:commentRangeStart w:id="11"/>
            <w:r w:rsidDel="00000000" w:rsidR="00000000" w:rsidRPr="00000000">
              <w:rPr>
                <w:rFonts w:ascii="Times New Roman" w:cs="Times New Roman" w:eastAsia="Times New Roman" w:hAnsi="Times New Roman"/>
                <w:color w:val="000000"/>
                <w:rtl w:val="0"/>
              </w:rPr>
              <w:t xml:space="preserve"> systematic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3.1.1 Description of the product, innovativeness</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Using knowledge from</w:t>
            </w:r>
            <w:commentRangeStart w:id="12"/>
            <w:r w:rsidDel="00000000" w:rsidR="00000000" w:rsidRPr="00000000">
              <w:rPr>
                <w:rFonts w:ascii="Times New Roman" w:cs="Times New Roman" w:eastAsia="Times New Roman" w:hAnsi="Times New Roman"/>
                <w:color w:val="000000"/>
                <w:rtl w:val="0"/>
              </w:rPr>
              <w:t xml:space="preserve"> from</w:t>
            </w:r>
            <w:commentRangeEnd w:id="12"/>
            <w:r w:rsidDel="00000000" w:rsidR="00000000" w:rsidRPr="00000000">
              <w:commentReference w:id="12"/>
            </w:r>
            <w:r w:rsidDel="00000000" w:rsidR="00000000" w:rsidRPr="00000000">
              <w:rPr>
                <w:rFonts w:ascii="Times New Roman" w:cs="Times New Roman" w:eastAsia="Times New Roman" w:hAnsi="Times New Roman"/>
                <w:color w:val="000000"/>
                <w:rtl w:val="0"/>
              </w:rPr>
              <w:t xml:space="preserve"> 4.3 (what problems it solves, what technical solutions).</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3.1.2 Level of novelty</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Determined by analysis 4.4 and 3.1.1 on the Oslo Manual scale. The AI agent must justify that the idea is novel at the global level.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3.1.3 R&amp;D priority and themes</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Assignment to a previously analysed area (4.4, 4.3, 3.1). *MTEPI priorities and their implementation themes were approved by the Resolution of the Government of the Republic of Lithuania No. 835 of 17 August 2022 "On the Approval of the Concept of Scientific Research and Experimental Development and Innovation (Smart Specialisation)</w:t>
            </w:r>
            <w:hyperlink r:id="rId9">
              <w:r w:rsidDel="00000000" w:rsidR="00000000" w:rsidRPr="00000000">
                <w:rPr>
                  <w:rFonts w:ascii="Times New Roman" w:cs="Times New Roman" w:eastAsia="Times New Roman" w:hAnsi="Times New Roman"/>
                  <w:color w:val="0000ff"/>
                  <w:u w:val="single"/>
                  <w:rtl w:val="0"/>
                </w:rPr>
                <w:t xml:space="preserve">" https://e-seimas.lrs.lt/portal/legalAct/lt/TAP/b70a8a20e6f511ec896de0b71e988500?jfwid=84nbea4rd</w:t>
              </w:r>
            </w:hyperlink>
            <w:r w:rsidDel="00000000" w:rsidR="00000000" w:rsidRPr="00000000">
              <w:rPr>
                <w:rtl w:val="0"/>
              </w:rPr>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6</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3.1.4 Research directions</w:t>
            </w: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Fonts w:ascii="Cardo" w:cs="Cardo" w:eastAsia="Cardo" w:hAnsi="Cardo"/>
                <w:color w:val="000000"/>
                <w:rtl w:val="0"/>
              </w:rPr>
              <w:t xml:space="preserve">Classification used under 3.1.1 → is chosen in accordance with the Order of the Ministry of Education, Science and Sport of the Republic of Lithuania No V-93 of 6 February 2019 "On the Approval of the Classifications of Scientific Fields and Art Fields</w:t>
            </w:r>
            <w:hyperlink r:id="rId10">
              <w:r w:rsidDel="00000000" w:rsidR="00000000" w:rsidRPr="00000000">
                <w:rPr>
                  <w:rFonts w:ascii="Times New Roman" w:cs="Times New Roman" w:eastAsia="Times New Roman" w:hAnsi="Times New Roman"/>
                  <w:color w:val="0000ff"/>
                  <w:u w:val="single"/>
                  <w:rtl w:val="0"/>
                </w:rPr>
                <w:t xml:space="preserve">". https://e-seimas.lrs.lt/portal/legalAct/lt/TAD/064e79a22a4f11e9a505bd13c24940c9/ZJMNxsaspI </w:t>
              </w:r>
            </w:hyperlink>
            <w:r w:rsidDel="00000000" w:rsidR="00000000" w:rsidRPr="00000000">
              <w:rPr>
                <w:rtl w:val="0"/>
              </w:rPr>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7</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3.1.5 Keywords</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Derived from 3.1.1, 4.4 + 4.3 NLP processing.</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8</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4.5. R&amp;D Activity Plan (RAP)</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color w:val="000000"/>
              </w:rPr>
            </w:pPr>
            <w:commentRangeStart w:id="13"/>
            <w:commentRangeStart w:id="14"/>
            <w:r w:rsidDel="00000000" w:rsidR="00000000" w:rsidRPr="00000000">
              <w:rPr>
                <w:rFonts w:ascii="Times New Roman" w:cs="Times New Roman" w:eastAsia="Times New Roman" w:hAnsi="Times New Roman"/>
                <w:color w:val="000000"/>
                <w:rtl w:val="0"/>
              </w:rPr>
              <w:t xml:space="preserve">Formulate</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color w:val="000000"/>
                <w:rtl w:val="0"/>
              </w:rPr>
              <w:t xml:space="preserve"> based on 4.3 (how uncertainties will be addressed, hypotheses tested, etc.) + 4.4 (literature) + 4.2 (people). 4.5 and 4.2 are filled in iteratively based on each other's information.  The AI agent describes what tasks</w:t>
            </w:r>
            <w:commentRangeStart w:id="15"/>
            <w:commentRangeStart w:id="16"/>
            <w:r w:rsidDel="00000000" w:rsidR="00000000" w:rsidRPr="00000000">
              <w:rPr>
                <w:rFonts w:ascii="Times New Roman" w:cs="Times New Roman" w:eastAsia="Times New Roman" w:hAnsi="Times New Roman"/>
                <w:color w:val="000000"/>
                <w:rtl w:val="0"/>
              </w:rPr>
              <w:t xml:space="preserve"> </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color w:val="000000"/>
                <w:rtl w:val="0"/>
              </w:rPr>
              <w:t xml:space="preserve"> need to be performed and how many hours will be required to perform them</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8.2. </w:t>
            </w:r>
          </w:p>
        </w:tc>
        <w:tc>
          <w:tcPr/>
          <w:p w:rsidR="00000000" w:rsidDel="00000000" w:rsidP="00000000" w:rsidRDefault="00000000" w:rsidRPr="00000000" w14:paraId="000000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Completion of Annex 1A</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AI agent determines which professionals' salaries to use based on the project activity and takes the hourly rate from https://osp.stat.gov.lt/statistiniu-rodikliu-analize#/Jeigu The company employs its own staff according to their direct duties, e.g. computer programmers, the applicant uploads the payroll for the last 6 months for these staff. The AI agent calculates the average. Employer's taxes of 1.77% are added to the indicator, and the holiday rate is 8.63%. Lithuanian</w:t>
            </w:r>
            <w:commentRangeStart w:id="17"/>
            <w:commentRangeStart w:id="18"/>
            <w:r w:rsidDel="00000000" w:rsidR="00000000" w:rsidRPr="00000000">
              <w:rPr>
                <w:rFonts w:ascii="Times New Roman" w:cs="Times New Roman" w:eastAsia="Times New Roman" w:hAnsi="Times New Roman"/>
                <w:color w:val="000000"/>
                <w:rtl w:val="0"/>
              </w:rPr>
              <w:t xml:space="preserve"> bank</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color w:val="000000"/>
                <w:rtl w:val="0"/>
              </w:rPr>
              <w:t xml:space="preserve"> projected growth in Wages https://www.lb.lt/lt/naujausios-ekonomikos-prognozes  </w:t>
            </w:r>
          </w:p>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client uploads commercial offers for services, materials and equipment to</w:t>
            </w:r>
            <w:commentRangeStart w:id="19"/>
            <w:commentRangeStart w:id="20"/>
            <w:r w:rsidDel="00000000" w:rsidR="00000000" w:rsidRPr="00000000">
              <w:rPr>
                <w:rFonts w:ascii="Times New Roman" w:cs="Times New Roman" w:eastAsia="Times New Roman" w:hAnsi="Times New Roman"/>
                <w:color w:val="000000"/>
                <w:rtl w:val="0"/>
              </w:rPr>
              <w:t xml:space="preserve"> on</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Times New Roman" w:cs="Times New Roman" w:eastAsia="Times New Roman" w:hAnsi="Times New Roman"/>
                <w:color w:val="000000"/>
                <w:rtl w:val="0"/>
              </w:rPr>
              <w:t xml:space="preserve"> . The AI Agent evaluates</w:t>
            </w:r>
            <w:commentRangeStart w:id="21"/>
            <w:commentRangeStart w:id="22"/>
            <w:r w:rsidDel="00000000" w:rsidR="00000000" w:rsidRPr="00000000">
              <w:rPr>
                <w:rFonts w:ascii="Times New Roman" w:cs="Times New Roman" w:eastAsia="Times New Roman" w:hAnsi="Times New Roman"/>
                <w:color w:val="000000"/>
                <w:rtl w:val="0"/>
              </w:rPr>
              <w:t xml:space="preserve"> which services ,</w:t>
            </w:r>
            <w:commentRangeEnd w:id="21"/>
            <w:r w:rsidDel="00000000" w:rsidR="00000000" w:rsidRPr="00000000">
              <w:commentReference w:id="21"/>
            </w:r>
            <w:commentRangeEnd w:id="22"/>
            <w:r w:rsidDel="00000000" w:rsidR="00000000" w:rsidRPr="00000000">
              <w:commentReference w:id="22"/>
            </w:r>
            <w:commentRangeStart w:id="23"/>
            <w:commentRangeStart w:id="24"/>
            <w:r w:rsidDel="00000000" w:rsidR="00000000" w:rsidRPr="00000000">
              <w:rPr>
                <w:rFonts w:ascii="Times New Roman" w:cs="Times New Roman" w:eastAsia="Times New Roman" w:hAnsi="Times New Roman"/>
                <w:color w:val="000000"/>
                <w:rtl w:val="0"/>
              </w:rPr>
              <w:t xml:space="preserve"> materials,</w:t>
            </w:r>
            <w:commentRangeEnd w:id="23"/>
            <w:r w:rsidDel="00000000" w:rsidR="00000000" w:rsidRPr="00000000">
              <w:commentReference w:id="23"/>
            </w:r>
            <w:commentRangeEnd w:id="24"/>
            <w:r w:rsidDel="00000000" w:rsidR="00000000" w:rsidRPr="00000000">
              <w:commentReference w:id="24"/>
            </w:r>
            <w:r w:rsidDel="00000000" w:rsidR="00000000" w:rsidRPr="00000000">
              <w:rPr>
                <w:rFonts w:ascii="Times New Roman" w:cs="Times New Roman" w:eastAsia="Times New Roman" w:hAnsi="Times New Roman"/>
                <w:color w:val="000000"/>
                <w:rtl w:val="0"/>
              </w:rPr>
              <w:t xml:space="preserve"> equipment are classified as Research activities and which are classified as Experimental Development activities. The agent shall fill in the excel table accordingly. </w:t>
            </w:r>
          </w:p>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Takes hours from 4.5 and allocates.</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9</w:t>
            </w: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4.2. Project team</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AI agent, based on Activity 4.5, will work out what posts will be needed for each activity: what will be done, at what times and how many working hours will be needed. The client will be able to mark which posts are existing and which are planned. The client will also be able to choose how many new employees it plans to recruit for the project. </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10</w:t>
            </w: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4.6. Patenting</w:t>
            </w: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Evaluated after analysis of innovativeness (3.1.1) and literature (4.4). The client indicates whether it intends to invest in patenting. </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11</w:t>
            </w: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4.7. Market readiness of the product</w:t>
            </w: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color w:val="000000"/>
              </w:rPr>
            </w:pPr>
            <w:commentRangeStart w:id="25"/>
            <w:commentRangeStart w:id="26"/>
            <w:r w:rsidDel="00000000" w:rsidR="00000000" w:rsidRPr="00000000">
              <w:rPr>
                <w:rFonts w:ascii="Times New Roman" w:cs="Times New Roman" w:eastAsia="Times New Roman" w:hAnsi="Times New Roman"/>
                <w:color w:val="000000"/>
                <w:rtl w:val="0"/>
              </w:rPr>
              <w:t xml:space="preserve">The customer indicates whether they need these activities. </w:t>
            </w:r>
            <w:r w:rsidDel="00000000" w:rsidR="00000000" w:rsidRPr="00000000">
              <w:rPr>
                <w:rFonts w:ascii="Times New Roman" w:cs="Times New Roman" w:eastAsia="Times New Roman" w:hAnsi="Times New Roman"/>
                <w:b w:val="1"/>
                <w:color w:val="000000"/>
                <w:rtl w:val="0"/>
              </w:rPr>
              <w:t xml:space="preserve">Market readiness of the product </w:t>
            </w:r>
            <w:r w:rsidDel="00000000" w:rsidR="00000000" w:rsidRPr="00000000">
              <w:rPr>
                <w:rFonts w:ascii="Times New Roman" w:cs="Times New Roman" w:eastAsia="Times New Roman" w:hAnsi="Times New Roman"/>
                <w:color w:val="000000"/>
                <w:rtl w:val="0"/>
              </w:rPr>
              <w:t xml:space="preserve">- understood as the innovative activities carried out after the completion of the R&amp;D activities of the project and before the start of the production of the developed product, which are necessary to prepare the product for sale, e.g. testing and standardisation of the developed product, design of the production capacity, preparation of user instructions, etc. The development of the product design, acquisition of production equipment or tools are not eligible activities.</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12</w:t>
            </w: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4.8. Risks</w:t>
            </w: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Based on the sequence of activities in 4.5 and the uncertainties in 4.3.</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13</w:t>
            </w: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4.1. Project location</w:t>
            </w: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stand-alone item that can be completed at any time when the address is known. The AI agent assesses the company's place of registration (rekvizitai.lt) and/or business activity (contacts on the company's website). If the activity is carried out in the right territory, it is filled in automatically, if not - the AI agent informs the client and asks what address to write. The AI agent asks whether the activity is carried out in own premises or in rented premises. If rented, it informs that a rental agreement and an extract from the Real Estate Registry Centre with the registered rental agreement will be required. </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14</w:t>
            </w: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4.9. Partnerships</w:t>
            </w: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First, the AI agent asks whether the project will be implemented with a partner during the company's screening phase. If it will be implemented with a partner, the partner is subject to the same screening as the applicant. The client has to define the boundaries of what the applicant will do and what the partner will do. This will also be the basis for the completion of point 4.2, which will list the staff of the applicant and, separately, the partner. This point justifies the necessity and benefits of the partnership.</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15</w:t>
            </w: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5.1. Market analysis</w:t>
            </w: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market study is needed (possibly in parallel with 4.4).</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16</w:t>
            </w: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5.2. Competitors</w:t>
            </w: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the same sources as 5.1, in addition to 3.1.1 the innovation analysis is used.</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17</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5.3. Kainodara</w:t>
            </w: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AI agent suggests possible pricing to the client, but the client has to confirm or enter his/her own. Based on competitor information (5.2) and product specifics (3.1.1).</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18</w:t>
            </w: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5.4. Commercialisation potential</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Summarises 4.5 (TPL at the beginning of the project, TPL at the end of the project). Evaluates the 4.5 activities to be carried out.  *The level of technological readiness of the product shall be indicated in accordance with the Description of the Recommended Classification of the Stages of Research and Experimental Development, approved by the Resolution of the Government of the Republic of Lithuania No 650 of 6 June 2012 </w:t>
            </w:r>
            <w:hyperlink r:id="rId11">
              <w:r w:rsidDel="00000000" w:rsidR="00000000" w:rsidRPr="00000000">
                <w:rPr>
                  <w:rFonts w:ascii="Times New Roman" w:cs="Times New Roman" w:eastAsia="Times New Roman" w:hAnsi="Times New Roman"/>
                  <w:color w:val="0000ff"/>
                  <w:u w:val="single"/>
                  <w:rtl w:val="0"/>
                </w:rPr>
                <w:t xml:space="preserve">https://e-seimas.lrs.lt/portal/legalAct/lt/TAD/TAIS.426659/asr</w:t>
              </w:r>
            </w:hyperlink>
            <w:r w:rsidDel="00000000" w:rsidR="00000000" w:rsidRPr="00000000">
              <w:rPr>
                <w:rtl w:val="0"/>
              </w:rPr>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19</w:t>
            </w: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Description of the legal entity</w:t>
            </w:r>
            <w:r w:rsidDel="00000000" w:rsidR="00000000" w:rsidRPr="00000000">
              <w:rPr>
                <w:rFonts w:ascii="Times New Roman" w:cs="Times New Roman" w:eastAsia="Times New Roman" w:hAnsi="Times New Roman"/>
                <w:color w:val="000000"/>
                <w:rtl w:val="0"/>
              </w:rPr>
              <w:t xml:space="preserve">(2.1-2.3)</w:t>
            </w:r>
          </w:p>
        </w:tc>
        <w:tc>
          <w:tcPr/>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Actual data used for SME verification (can be filled in earlier).</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20</w:t>
            </w: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6. Resources (1A)</w:t>
            </w: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shall be described in terms of the need for equipment, premises, materials, etc. identified in Activity 4.5 and the resources available to the enterprise. In most cases, this item will be empty because of the administrative burden of including existing equipment or renting premises and because of the depreciation of equipment, which is usually depreciated or has a very low carrying amount. </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21</w:t>
            </w: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7. Financial Plan </w:t>
            </w:r>
            <w:r w:rsidDel="00000000" w:rsidR="00000000" w:rsidRPr="00000000">
              <w:rPr>
                <w:rFonts w:ascii="Times New Roman" w:cs="Times New Roman" w:eastAsia="Times New Roman" w:hAnsi="Times New Roman"/>
                <w:color w:val="000000"/>
                <w:rtl w:val="0"/>
              </w:rPr>
              <w:t xml:space="preserve">(Excel "Financial Plan")</w:t>
            </w:r>
          </w:p>
        </w:tc>
        <w:tc>
          <w:tcPr/>
          <w:p w:rsidR="00000000" w:rsidDel="00000000" w:rsidP="00000000" w:rsidRDefault="00000000" w:rsidRPr="00000000" w14:paraId="0000005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AI agent evaluates the inventory to determine whether the achievement of revenue is treated as a commitment and whether priority points are given for a higher revenue/project value ratio. If points are given, the most optimistic option is taken.  If there is a commitment to achieve the revenue/project value ratio, the client must confirm. </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22</w:t>
            </w: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Summary</w:t>
            </w: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last one is written when all the information has been gathered.</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23</w:t>
            </w: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8. Sources of literature</w:t>
            </w: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Generated automatically from the content of 4.4.</w:t>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24</w:t>
            </w: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9. Annexes</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Includes automatically generated documents (CVs, tables, graphs).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haven’t forwarded it yet, but I can answer: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All the forms are usually filled out by the agency when they receive the documents from the client (input file).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Artūras wants an agent (or multiple agents) that can fill out the forms, notify if something is missing, and additionally – evaluate whether the idea is good or bad and indicate which documents are still needed.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Also, the agency doesn’t always receive all the information through official documents – sometimes it comes via email or SMS.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Regarding the sequence, I think Aurimas prepared a workflow document. Let me check.</w:t>
      </w:r>
    </w:p>
    <w:p w:rsidR="00000000" w:rsidDel="00000000" w:rsidP="00000000" w:rsidRDefault="00000000" w:rsidRPr="00000000" w14:paraId="00000080">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kirmantas Norkus" w:id="2" w:date="2025-06-11T19:18:5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conversation come from? Is it recorded or what do you imagine? Is the AI assistant directly connected?</w:t>
      </w:r>
    </w:p>
  </w:comment>
  <w:comment w:author="Arturas Cechanovicius" w:id="3" w:date="2025-06-11T19:35:3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transcription of the conversations can be taken from MS Teams, which is how I do it now. You can use Bold Video. I think there are more tools.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to structure the interview and gather the necessary information.</w:t>
      </w:r>
    </w:p>
  </w:comment>
  <w:comment w:author="Skirmantas Norkus" w:id="4" w:date="2025-06-11T19:18:5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AI access these databases?</w:t>
      </w:r>
    </w:p>
  </w:comment>
  <w:comment w:author="Arturas Cechanovicius" w:id="5" w:date="2025-06-11T19:40:02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 to MVPs: use the Lens.org API - it is the only one with a normal licensed REST API that integrates patents and literature.</w:t>
      </w:r>
    </w:p>
  </w:comment>
  <w:comment w:author="Skirmantas Norkus" w:id="19" w:date="2025-06-11T19:18:5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AI has a good strategy for putting together a budget to get the best possible funding.</w:t>
      </w:r>
    </w:p>
  </w:comment>
  <w:comment w:author="Arturas Cechanovicius" w:id="20" w:date="2025-06-11T20:34:4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the rules can apply here, too. He will know it is 75/25, he will know the number of hours, he will know the rate. He will also be able to use the rules to place materials in 72/25. And he will know how to recognise which materials are needed for a layout and which materials are needed for a prototype.  Fixed assets are more difficult.</w:t>
      </w:r>
    </w:p>
  </w:comment>
  <w:comment w:author="Skirmantas Norkus" w:id="21" w:date="2025-06-11T19:18:5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describe the service, it may include. The attempt is always made to classify R&amp;D activities.</w:t>
      </w:r>
    </w:p>
  </w:comment>
  <w:comment w:author="Arturas Cechanovicius" w:id="22" w:date="2025-06-11T20:40:12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should be clear from the commercial, because if it's not clear to him, it's not clear to the IA. :D A rule could be written to check whether a service can be attracted to R&amp;D services in R&amp;D activities.</w:t>
      </w:r>
    </w:p>
  </w:comment>
  <w:comment w:author="Skirmantas Norkus" w:id="17" w:date="2025-06-11T19:18:5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could describe it all.</w:t>
      </w:r>
    </w:p>
  </w:comment>
  <w:comment w:author="Arturas Cechanovicius" w:id="18" w:date="2025-06-11T20:29:4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it should still take the relevant data. Either he has to take it himself, or he will need to upload it.</w:t>
      </w:r>
    </w:p>
  </w:comment>
  <w:comment w:author="Skirmantas Norkus" w:id="8" w:date="2025-06-11T19:18:5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it filled to a high standard there?</w:t>
      </w:r>
    </w:p>
  </w:comment>
  <w:comment w:author="Arturas Cechanovicius" w:id="9" w:date="2025-06-11T19:43:3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very much. :) it would be best if the client could make and upload it himself.</w:t>
      </w:r>
    </w:p>
  </w:comment>
  <w:comment w:author="Skirmantas Norkus" w:id="13" w:date="2025-06-11T19:18:5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 important point here is how will the activities be automatically differentiated? Into how many? I think it would be easier to always do two activities, MT and EP. I always do that and it would be simpler.</w:t>
      </w:r>
    </w:p>
  </w:comment>
  <w:comment w:author="Arturas Cechanovicius" w:id="14" w:date="2025-06-11T20:24:1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MT and EP. And a 75/25 ratio. Then he will create the tasks in the activities and allocate the hours.</w:t>
      </w:r>
    </w:p>
  </w:comment>
  <w:comment w:author="Skirmantas Norkus" w:id="25" w:date="2025-06-11T19:18:5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anything about the budget, if this is the minimum. It must be a description of budget 1B.</w:t>
      </w:r>
    </w:p>
  </w:comment>
  <w:comment w:author="Arturas Cechanovicius" w:id="26" w:date="2025-06-11T21:12:5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when I sent it to you, I remembered that I didn't include 1B. It's rare and difficult anyway. :) here you will need the commercial proposals to be structured according to 1B, otherwise it is difficult to sort out who is who and what stage.</w:t>
      </w:r>
    </w:p>
  </w:comment>
  <w:comment w:author="Skirmantas Norkus" w:id="0" w:date="2025-06-11T19:18:5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if, after analysing the whole conversation, the AI decides the project starts with 2 TPL? Then the project will score low. It is necessary to put together expert rules that always start the project at TPL 4 (have to have entered it) in order to score more points.</w:t>
      </w:r>
    </w:p>
  </w:comment>
  <w:comment w:author="Arturas Cechanovicius" w:id="1" w:date="2025-06-11T19:30:1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possible to add such a rule. And then you would need to be trained on how to justify it.</w:t>
      </w:r>
    </w:p>
  </w:comment>
  <w:comment w:author="Skirmantas Norkus" w:id="15" w:date="2025-06-11T19:18:5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the problem statement should be provided here. I suggest using my structure.</w:t>
      </w:r>
    </w:p>
  </w:comment>
  <w:comment w:author="Arturas Cechanovicius" w:id="16" w:date="2025-06-11T20:27:3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comment>
  <w:comment w:author="Skirmantas Norkus" w:id="12" w:date="2025-06-11T19:18:5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prompts should include: '3.1. A description of the new or substantially improved product to be developed: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Describe the specific characteristics, measurable features, technical solutions, etc., that will characterise the new product to be developed, the innovativeness of the product to be developed. It shall also describe the new characteristics of the product to be developed in comparison with analogues available on the market, and shall provide comparisons (where possible with specific parameters) with analogues or close substitutes. If it is not possible to define the specific measurable characteristics of the product without testing, a description of the intended use of the results of the tests shall be given as far as possible. It shall describe how and why the product benefits are important to consumers, how the new products will benefit consumers, what problems they will solve, etc.". Also, the promt could be improved by describing the need to present more of the idea in this section.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Arturas Cechanovicius reacted with 👍 at 2025-06-11 13:21 PM</w:t>
      </w:r>
    </w:p>
  </w:comment>
  <w:comment w:author="Skirmantas Norkus" w:id="23" w:date="2025-06-11T19:18:50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can be assigned to both.</w:t>
      </w:r>
    </w:p>
  </w:comment>
  <w:comment w:author="Arturas Cechanovicius" w:id="24" w:date="2025-06-11T20:41:4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 have to look at where they are best suited and in what proportion.</w:t>
      </w:r>
    </w:p>
  </w:comment>
  <w:comment w:author="Skirmantas Norkus" w:id="10" w:date="2025-06-11T19:18:5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include the following in the prompts here: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"Justify the new or additional knowledge that the project activities aim to provide.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scientific and/or technological problems for which knowledge is not publicly available and/or has not yet been applied in the industrial and/or service sector concerned and for which the project is needed? How does the project seek to generate such new or additional knowledge which, if applied, could lead to new or substantially improved products or processes or to specific practical objectives? What specific scientific and/or technological problems exist that need to be solved in order to develop/improve the planned product?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original ideas and/or hypotheses on which the project is based.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project tests an original, non-obvious hypothesis that solves a scientific-technological problem in order to develop a new product or process, or to substantially improve an existing one, or to solve a specific practical objective? What methods of discovering new or additional knowledge (literature analysis and/or experimentation and/or observation and/or survey) add value?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whether the project's intended outcomes are subject to at least one of the uncertainties.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likelihood of failing to generate sufficient quality or quantity of new or additional knowledge? What is the likelihood of failing to achieve the planned results at the planned cost? What is the probability of not achieving the planned results within the planned timeframe?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systematic nature of the planned project activities.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project activities coherent and logically structured? How does the quality of the project activities comply with the SMART principles (Specific, Measurable, Achievable, Relevant, Timed)? How do the project activities relate to the EP and RTD stages according to the description of the Recommended Classification of Research and Experimental Development Stages, approved by the Resolution of the Government of the Republic of Lithuania of 6 June 2012 No 650 'On the approval of the description of the Recommended Classification of Research and Experimental Development Stages'?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systematic nature of the planned project activities.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project activities coherent and logically structured? How does the quality of the project activities comply with the SMART principles (Specific, Measurable, Achievable, Relevant, Timed)? How do the project activities relate to the EP and RTD stages according to the description of the Recommended Classification of Research and Experimental Development Stages, approved by the Resolution of the Government of the Republic of Lithuania of 6 June 2012 No 650 'On the approval of the description of the Recommended Classification of Research and Experimental Development Stages'?</w:t>
      </w:r>
    </w:p>
  </w:comment>
  <w:comment w:author="Arturas Cechanovicius" w:id="11" w:date="2025-06-11T20:21:12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prompt will be from the business plan. And you will need to be trained on what to write in this place via your existing business plans.</w:t>
      </w:r>
    </w:p>
  </w:comment>
  <w:comment w:author="Skirmantas Norkus" w:id="6" w:date="2025-06-11T19:18:5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distort very far from the original idea of the project by the customer. Isn't it?</w:t>
      </w:r>
    </w:p>
  </w:comment>
  <w:comment w:author="Arturas Cechanovicius" w:id="7" w:date="2025-06-11T19:41:2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can be written here too. And yes, if you need to deviate from the idea further to make it Frascati-compliant, you have to propose it to the client. :) it can be done in such a way that several options are offered and the client chooses.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REM">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LT"/>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seimas.lrs.lt/portal/legalAct/lt/TAD/TAIS.426659/asr" TargetMode="External"/><Relationship Id="rId10" Type="http://schemas.openxmlformats.org/officeDocument/2006/relationships/hyperlink" Target="https://e-seimas.lrs.lt/portal/legalAct/lt/TAD/064e79a22a4f11e9a505bd13c24940c9/ZJMNxsaspI%C2%A0" TargetMode="External"/><Relationship Id="rId9" Type="http://schemas.openxmlformats.org/officeDocument/2006/relationships/hyperlink" Target="https://e-seimas.lrs.lt/portal/legalAct/lt/TAP/b70a8a20e6f511ec896de0b71e988500?jfwid=84nbea4r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9" Type="http://schemas.openxmlformats.org/officeDocument/2006/relationships/font" Target="fonts/REM-boldItalic.ttf"/><Relationship Id="rId5" Type="http://schemas.openxmlformats.org/officeDocument/2006/relationships/font" Target="fonts/Cardo-italic.ttf"/><Relationship Id="rId6" Type="http://schemas.openxmlformats.org/officeDocument/2006/relationships/font" Target="fonts/REM-regular.ttf"/><Relationship Id="rId7" Type="http://schemas.openxmlformats.org/officeDocument/2006/relationships/font" Target="fonts/REM-bold.ttf"/><Relationship Id="rId8" Type="http://schemas.openxmlformats.org/officeDocument/2006/relationships/font" Target="fonts/REM-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