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7C1B" w:rsidP="00E27C1B" w:rsidRDefault="00E27C1B" w14:paraId="419A6E50" w14:textId="77777777">
      <w:pPr>
        <w:ind w:start="8647" w:end="567"/>
        <w:rPr>
          <w:szCs w:val="24"/>
        </w:rPr>
      </w:pPr>
      <w:bookmarkStart w:name="_Hlk148450196" w:id="0"/>
      <w:r>
        <w:rPr>
          <w:szCs w:val="24"/>
        </w:rPr>
        <w:t xml:space="preserve">Description of the terms and conditions for the financing of the projects under </w:t>
      </w:r>
      <w:r w:rsidRPr="0089410E">
        <w:rPr>
          <w:iCs/>
          <w:szCs w:val="24"/>
        </w:rPr>
        <w:t xml:space="preserve">the activity "Stimulating the supply of innovations", under the impact of the action "</w:t>
      </w:r>
      <w:r w:rsidRPr="00FE1897">
        <w:rPr>
          <w:iCs/>
          <w:szCs w:val="24"/>
        </w:rPr>
        <w:t xml:space="preserve">Investing in </w:t>
      </w:r>
      <w:r w:rsidRPr="00FE1897">
        <w:rPr>
          <w:iCs/>
          <w:szCs w:val="24"/>
        </w:rPr>
        <w:t xml:space="preserve">activities for the development of </w:t>
      </w:r>
      <w:r w:rsidRPr="00FE1897">
        <w:rPr>
          <w:iCs/>
          <w:szCs w:val="24"/>
        </w:rPr>
        <w:t xml:space="preserve">new </w:t>
      </w:r>
      <w:r w:rsidRPr="00480416">
        <w:rPr>
          <w:iCs/>
          <w:szCs w:val="24"/>
        </w:rPr>
        <w:t xml:space="preserve">high value added </w:t>
      </w:r>
      <w:r w:rsidRPr="00FE1897">
        <w:rPr>
          <w:iCs/>
          <w:szCs w:val="24"/>
        </w:rPr>
        <w:t xml:space="preserve">products and enabling researchers to participate in </w:t>
      </w:r>
      <w:r w:rsidRPr="00480416">
        <w:rPr>
          <w:iCs/>
          <w:szCs w:val="24"/>
        </w:rPr>
        <w:t xml:space="preserve">research and experimental development </w:t>
      </w:r>
      <w:r w:rsidRPr="00FE1897">
        <w:rPr>
          <w:iCs/>
          <w:szCs w:val="24"/>
        </w:rPr>
        <w:t xml:space="preserve">activities </w:t>
      </w:r>
      <w:r w:rsidRPr="00FE1897">
        <w:rPr>
          <w:iCs/>
          <w:szCs w:val="24"/>
        </w:rPr>
        <w:t xml:space="preserve">of enterprises</w:t>
      </w:r>
      <w:r w:rsidRPr="00FE1897">
        <w:rPr>
          <w:iCs/>
          <w:szCs w:val="24"/>
        </w:rPr>
        <w:t xml:space="preserve">, promotion of intellectual property, early pilot production of new products developed, and market readiness" </w:t>
      </w:r>
      <w:r w:rsidRPr="0089410E">
        <w:rPr>
          <w:iCs/>
          <w:szCs w:val="24"/>
        </w:rPr>
        <w:t xml:space="preserve">of the progress measure No 05-001-01-05-07 "Establishing a coherent system of promoting innovation activities" for the period from 2022 to 2030 of the Programme for the Transformation of the Economy and the Development of Competitiveness (</w:t>
      </w:r>
      <w:r w:rsidRPr="00FE1897">
        <w:rPr>
          <w:iCs/>
          <w:szCs w:val="24"/>
        </w:rPr>
        <w:t xml:space="preserve">region of central and western Lithuania)</w:t>
      </w:r>
      <w:r w:rsidRPr="0089410E">
        <w:rPr>
          <w:iCs/>
          <w:szCs w:val="24"/>
        </w:rPr>
        <w:t xml:space="preserve">.</w:t>
      </w:r>
    </w:p>
    <w:p w:rsidR="00E27C1B" w:rsidP="00E27C1B" w:rsidRDefault="00E27C1B" w14:paraId="5C86D1EC" w14:textId="77777777">
      <w:pPr>
        <w:ind w:start="8647" w:end="567"/>
        <w:rPr>
          <w:szCs w:val="24"/>
        </w:rPr>
      </w:pPr>
      <w:r w:rsidRPr="00491D50">
        <w:rPr>
          <w:szCs w:val="24"/>
        </w:rPr>
        <w:t xml:space="preserve">Annex 1</w:t>
      </w:r>
    </w:p>
    <w:bookmarkEnd w:id="0"/>
    <w:p w:rsidRPr="00B765F3" w:rsidR="00E27C1B" w:rsidP="00E27C1B" w:rsidRDefault="00E27C1B" w14:paraId="3B3022ED" w14:textId="77777777">
      <w:pPr>
        <w:ind w:end="567"/>
        <w:jc w:val="center"/>
        <w:rPr>
          <w:rFonts w:eastAsia="Calibri"/>
          <w:b/>
          <w:bCs/>
          <w:szCs w:val="24"/>
        </w:rPr>
      </w:pPr>
    </w:p>
    <w:p w:rsidRPr="00B765F3" w:rsidR="00E27C1B" w:rsidP="00E27C1B" w:rsidRDefault="00E27C1B" w14:paraId="40B8AFEB" w14:textId="77777777">
      <w:pPr>
        <w:ind w:end="567"/>
        <w:jc w:val="center"/>
        <w:rPr>
          <w:rFonts w:eastAsia="Calibri"/>
          <w:b/>
          <w:bCs/>
          <w:szCs w:val="24"/>
        </w:rPr>
      </w:pPr>
      <w:r w:rsidRPr="00B765F3">
        <w:rPr>
          <w:rFonts w:eastAsia="Calibri"/>
          <w:b/>
          <w:bCs/>
          <w:szCs w:val="24"/>
        </w:rPr>
        <w:t xml:space="preserve">DESCRIPTION OF THE REQUIREMENTS FOR ASSESSING COMPLIANCE OF A PROJECT (INCLUDING A JOINT PROJECT) WITH THE HORIZONTAL PRINCIPLE OF NO SIGNIFICANT HARM</w:t>
      </w:r>
    </w:p>
    <w:p w:rsidRPr="00B765F3" w:rsidR="00E27C1B" w:rsidP="00E27C1B" w:rsidRDefault="00E27C1B" w14:paraId="0841B1B3" w14:textId="77777777">
      <w:pPr>
        <w:jc w:val="center"/>
        <w:rPr>
          <w:rFonts w:eastAsia="Calibri"/>
          <w:b/>
          <w:bCs/>
          <w:szCs w:val="24"/>
        </w:rPr>
      </w:pPr>
    </w:p>
    <w:p w:rsidRPr="00B765F3" w:rsidR="00E27C1B" w:rsidP="00E27C1B" w:rsidRDefault="00E27C1B" w14:paraId="5B4AE602" w14:textId="77777777">
      <w:pPr>
        <w:spacing w:line="276" w:lineRule="auto"/>
        <w:jc w:val="both"/>
        <w:rPr>
          <w:rFonts w:eastAsia="Calibri"/>
          <w:bCs/>
          <w:szCs w:val="24"/>
        </w:rPr>
      </w:pPr>
      <w:r w:rsidRPr="00B765F3">
        <w:rPr>
          <w:rFonts w:eastAsia="Calibri"/>
          <w:bCs/>
          <w:szCs w:val="24"/>
        </w:rPr>
        <w:t xml:space="preserve">Source of funding for the project (</w:t>
      </w:r>
      <w:r w:rsidRPr="00B765F3">
        <w:rPr>
          <w:rFonts w:eastAsia="Calibri"/>
          <w:bCs/>
          <w:i/>
          <w:szCs w:val="24"/>
        </w:rPr>
        <w:t xml:space="preserve">tick the appropriate one</w:t>
      </w:r>
      <w:r w:rsidRPr="00B765F3">
        <w:rPr>
          <w:rFonts w:eastAsia="Calibri"/>
          <w:bCs/>
          <w:szCs w:val="24"/>
        </w:rPr>
        <w:t xml:space="preserve">):</w:t>
      </w:r>
    </w:p>
    <w:p w:rsidRPr="00B765F3" w:rsidR="00E27C1B" w:rsidP="00E27C1B" w:rsidRDefault="00E27C1B" w14:paraId="6366CD97" w14:textId="77777777">
      <w:pPr>
        <w:spacing w:line="276" w:lineRule="auto"/>
        <w:jc w:val="both"/>
        <w:rPr>
          <w:rFonts w:eastAsia="Calibri"/>
          <w:bCs/>
          <w:szCs w:val="24"/>
        </w:rPr>
      </w:pPr>
      <w:r w:rsidRPr="00B765F3">
        <w:rPr>
          <w:rFonts w:ascii="Wingdings 2" w:hAnsi="Wingdings 2" w:eastAsia="Wingdings 2" w:cs="Wingdings 2"/>
        </w:rPr>
        <w:t></w:t>
      </w:r>
      <w:r w:rsidRPr="00B765F3">
        <w:rPr>
          <w:rFonts w:eastAsia="Calibri"/>
          <w:bCs/>
          <w:szCs w:val="24"/>
        </w:rPr>
        <w:t xml:space="preserve"> Economic Recovery and Resilience Facility (ERRF)</w:t>
      </w:r>
    </w:p>
    <w:p w:rsidRPr="00B765F3" w:rsidR="00E27C1B" w:rsidP="00E27C1B" w:rsidRDefault="00E27C1B" w14:paraId="79EA0526" w14:textId="77777777">
      <w:pPr>
        <w:spacing w:line="276" w:lineRule="auto"/>
        <w:jc w:val="both"/>
        <w:rPr>
          <w:rFonts w:eastAsia="Calibri"/>
          <w:bCs/>
          <w:szCs w:val="24"/>
        </w:rPr>
      </w:pPr>
      <w:r w:rsidRPr="00B765F3">
        <w:rPr>
          <w:rFonts w:ascii="Wingdings" w:hAnsi="Wingdings" w:eastAsia="Wingdings" w:cs="Wingdings"/>
        </w:rPr>
        <w:t></w:t>
      </w:r>
      <w:r w:rsidRPr="00B765F3">
        <w:t xml:space="preserve"> European Union Funds </w:t>
      </w:r>
      <w:r w:rsidRPr="00B765F3">
        <w:rPr>
          <w:rFonts w:eastAsia="Calibri"/>
          <w:bCs/>
          <w:szCs w:val="24"/>
        </w:rPr>
        <w:t xml:space="preserve">Investment Programme (</w:t>
      </w:r>
      <w:r>
        <w:rPr>
          <w:rFonts w:eastAsia="Calibri"/>
          <w:bCs/>
          <w:szCs w:val="24"/>
        </w:rPr>
        <w:t xml:space="preserve">ESFIP</w:t>
      </w:r>
      <w:r w:rsidRPr="00B765F3">
        <w:rPr>
          <w:rFonts w:eastAsia="Calibri"/>
          <w:bCs/>
          <w:szCs w:val="24"/>
        </w:rPr>
        <w:t xml:space="preserve">)</w:t>
      </w:r>
    </w:p>
    <w:p w:rsidRPr="00B765F3" w:rsidR="00E27C1B" w:rsidP="00E27C1B" w:rsidRDefault="00E27C1B" w14:paraId="21D48735" w14:textId="77777777">
      <w:pPr>
        <w:spacing w:line="276" w:lineRule="auto"/>
        <w:jc w:val="both"/>
        <w:rPr>
          <w:rFonts w:eastAsia="Calibri"/>
          <w:bCs/>
          <w:szCs w:val="24"/>
        </w:rPr>
      </w:pPr>
    </w:p>
    <w:tbl>
      <w:tblPr>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388"/>
        <w:gridCol w:w="6828"/>
        <w:gridCol w:w="4021"/>
      </w:tblGrid>
      <w:tr w:rsidRPr="00B765F3" w:rsidR="00E27C1B" w:rsidTr="00320405" w14:paraId="7D1B5018" w14:textId="77777777">
        <w:tc>
          <w:tcPr>
            <w:tcW w:w="3545" w:type="dxa"/>
          </w:tcPr>
          <w:p w:rsidRPr="00B765F3" w:rsidR="00E27C1B" w:rsidP="00320405" w:rsidRDefault="00E27C1B" w14:paraId="7153AE3A" w14:textId="77777777">
            <w:pPr>
              <w:jc w:val="center"/>
              <w:rPr>
                <w:rFonts w:eastAsia="Calibri"/>
                <w:b/>
                <w:szCs w:val="24"/>
              </w:rPr>
            </w:pPr>
            <w:r w:rsidRPr="00B765F3">
              <w:rPr>
                <w:rFonts w:eastAsia="Calibri"/>
                <w:b/>
                <w:szCs w:val="24"/>
              </w:rPr>
              <w:t xml:space="preserve">Environmental objectives</w:t>
            </w:r>
          </w:p>
          <w:p w:rsidRPr="00B765F3" w:rsidR="00E27C1B" w:rsidP="00320405" w:rsidRDefault="00E27C1B" w14:paraId="324FED31" w14:textId="77777777">
            <w:pPr>
              <w:jc w:val="both"/>
              <w:rPr>
                <w:rFonts w:eastAsia="Calibri"/>
                <w:b/>
                <w:szCs w:val="24"/>
              </w:rPr>
            </w:pPr>
            <w:r w:rsidRPr="000E621B">
              <w:rPr>
                <w:rFonts w:eastAsia="Calibri"/>
                <w:i/>
                <w:szCs w:val="24"/>
              </w:rPr>
              <w:t xml:space="preserve">(</w:t>
            </w:r>
            <w:r w:rsidRPr="00B765F3">
              <w:rPr>
                <w:rFonts w:eastAsia="Calibri"/>
                <w:i/>
                <w:szCs w:val="24"/>
              </w:rPr>
              <w:t xml:space="preserve">pursuant to Regulation (EU) 2020/852 of the European Parliament and of the Council of 18 June 2020 on the establishment of a framework to facilitate sustainable investment and amending Regulation (EU) 2019/2088)</w:t>
            </w:r>
          </w:p>
        </w:tc>
        <w:tc>
          <w:tcPr>
            <w:tcW w:w="7229" w:type="dxa"/>
          </w:tcPr>
          <w:p w:rsidRPr="00B765F3" w:rsidR="00E27C1B" w:rsidP="00320405" w:rsidRDefault="00E27C1B" w14:paraId="3F4B5009" w14:textId="77777777">
            <w:pPr>
              <w:jc w:val="center"/>
              <w:rPr>
                <w:rFonts w:eastAsia="Calibri"/>
                <w:b/>
                <w:szCs w:val="24"/>
              </w:rPr>
            </w:pPr>
            <w:r w:rsidRPr="00B765F3">
              <w:rPr>
                <w:rFonts w:eastAsia="Calibri"/>
                <w:b/>
                <w:szCs w:val="24"/>
              </w:rPr>
              <w:t xml:space="preserve">Justification</w:t>
            </w:r>
            <w:r>
              <w:rPr>
                <w:rFonts w:eastAsia="Calibri"/>
                <w:b/>
                <w:szCs w:val="24"/>
              </w:rPr>
              <w:t xml:space="preserve"> agreed with the European Commission</w:t>
            </w:r>
          </w:p>
          <w:p w:rsidR="00E27C1B" w:rsidP="00320405" w:rsidRDefault="00E27C1B" w14:paraId="474A3DF0" w14:textId="77777777">
            <w:pPr>
              <w:jc w:val="both"/>
              <w:rPr>
                <w:rFonts w:eastAsia="Calibri"/>
                <w:bCs/>
                <w:i/>
                <w:szCs w:val="24"/>
              </w:rPr>
            </w:pPr>
            <w:r w:rsidRPr="00B765F3">
              <w:rPr>
                <w:rFonts w:eastAsia="Calibri"/>
                <w:bCs/>
                <w:i/>
                <w:szCs w:val="24"/>
              </w:rPr>
              <w:t xml:space="preserve">(based on the </w:t>
            </w:r>
            <w:r w:rsidRPr="00B765F3">
              <w:rPr>
                <w:rFonts w:eastAsia="Calibri"/>
                <w:bCs/>
                <w:i/>
                <w:szCs w:val="24"/>
              </w:rPr>
              <w:t xml:space="preserve">evaluation </w:t>
            </w:r>
            <w:r>
              <w:rPr>
                <w:rFonts w:eastAsia="Calibri"/>
                <w:bCs/>
                <w:i/>
                <w:szCs w:val="24"/>
              </w:rPr>
              <w:t xml:space="preserve">questionnaires </w:t>
            </w:r>
            <w:r w:rsidRPr="00B765F3">
              <w:rPr>
                <w:rFonts w:eastAsia="Calibri"/>
                <w:bCs/>
                <w:i/>
                <w:szCs w:val="24"/>
              </w:rPr>
              <w:t xml:space="preserve">for measures (where the source of funding is EGADP) or actions (activities) (where the source of funding is </w:t>
            </w:r>
            <w:r>
              <w:rPr>
                <w:rFonts w:eastAsia="Calibri"/>
                <w:bCs/>
                <w:i/>
                <w:szCs w:val="24"/>
              </w:rPr>
              <w:t xml:space="preserve">ESFIP</w:t>
            </w:r>
            <w:r w:rsidRPr="00B765F3">
              <w:rPr>
                <w:rFonts w:eastAsia="Calibri"/>
                <w:bCs/>
                <w:i/>
                <w:szCs w:val="24"/>
              </w:rPr>
              <w:t xml:space="preserve">)</w:t>
            </w:r>
            <w:r w:rsidRPr="00B765F3">
              <w:rPr>
                <w:rFonts w:eastAsia="Calibri"/>
                <w:bCs/>
                <w:i/>
                <w:szCs w:val="24"/>
              </w:rPr>
              <w:t xml:space="preserve">, only </w:t>
            </w:r>
            <w:r>
              <w:rPr>
                <w:rFonts w:eastAsia="Calibri"/>
                <w:bCs/>
                <w:i/>
                <w:szCs w:val="24"/>
              </w:rPr>
              <w:t xml:space="preserve">the part of </w:t>
            </w:r>
            <w:r w:rsidRPr="00B765F3">
              <w:rPr>
                <w:rFonts w:eastAsia="Calibri"/>
                <w:bCs/>
                <w:i/>
                <w:szCs w:val="24"/>
              </w:rPr>
              <w:t xml:space="preserve">the evaluation </w:t>
            </w:r>
            <w:r>
              <w:rPr>
                <w:rFonts w:eastAsia="Calibri"/>
                <w:bCs/>
                <w:i/>
                <w:szCs w:val="24"/>
              </w:rPr>
              <w:t xml:space="preserve">questionnaire </w:t>
            </w:r>
            <w:r w:rsidRPr="00B765F3">
              <w:rPr>
                <w:rFonts w:eastAsia="Calibri"/>
                <w:bCs/>
                <w:i/>
                <w:szCs w:val="24"/>
              </w:rPr>
              <w:t xml:space="preserve">relevant to the action to be financed </w:t>
            </w:r>
            <w:r>
              <w:rPr>
                <w:rFonts w:eastAsia="Calibri"/>
                <w:bCs/>
                <w:i/>
                <w:szCs w:val="24"/>
              </w:rPr>
              <w:t xml:space="preserve">is indicated</w:t>
            </w:r>
            <w:r w:rsidRPr="00B765F3">
              <w:rPr>
                <w:rFonts w:eastAsia="Calibri"/>
                <w:bCs/>
                <w:i/>
                <w:szCs w:val="24"/>
              </w:rPr>
              <w:t xml:space="preserve">)</w:t>
            </w:r>
          </w:p>
          <w:p w:rsidRPr="00B765F3" w:rsidR="00E27C1B" w:rsidP="00320405" w:rsidRDefault="00E27C1B" w14:paraId="063703C5" w14:textId="77777777">
            <w:pPr>
              <w:jc w:val="both"/>
              <w:rPr>
                <w:rFonts w:eastAsia="Calibri"/>
                <w:b/>
                <w:szCs w:val="24"/>
              </w:rPr>
            </w:pPr>
            <w:r w:rsidRPr="00181142">
              <w:rPr>
                <w:rFonts w:eastAsia="Calibri"/>
                <w:bCs/>
                <w:i/>
                <w:szCs w:val="24"/>
              </w:rPr>
              <w:t xml:space="preserve">(national legislation implementing the European Union (EU) legislation mentioned in the evaluation questionnaires may also be indicated)</w:t>
            </w:r>
          </w:p>
        </w:tc>
        <w:tc>
          <w:tcPr>
            <w:tcW w:w="4224" w:type="dxa"/>
          </w:tcPr>
          <w:p w:rsidRPr="00B765F3" w:rsidR="00E27C1B" w:rsidP="00320405" w:rsidRDefault="00E27C1B" w14:paraId="07985F68" w14:textId="77777777">
            <w:pPr>
              <w:jc w:val="center"/>
              <w:rPr>
                <w:rFonts w:eastAsia="Calibri"/>
                <w:i/>
                <w:sz w:val="20"/>
              </w:rPr>
            </w:pPr>
            <w:r w:rsidRPr="00B765F3">
              <w:rPr>
                <w:rFonts w:eastAsia="Calibri"/>
                <w:b/>
                <w:szCs w:val="24"/>
              </w:rPr>
              <w:t xml:space="preserve">Supporting documents</w:t>
            </w:r>
          </w:p>
          <w:p w:rsidRPr="00B765F3" w:rsidR="00E27C1B" w:rsidP="00320405" w:rsidRDefault="00E27C1B" w14:paraId="7B90CD27" w14:textId="77777777">
            <w:pPr>
              <w:jc w:val="both"/>
              <w:rPr>
                <w:rFonts w:eastAsia="Calibri"/>
                <w:i/>
                <w:szCs w:val="24"/>
              </w:rPr>
            </w:pPr>
            <w:r w:rsidRPr="00B765F3">
              <w:rPr>
                <w:rFonts w:eastAsia="Calibri"/>
                <w:i/>
                <w:szCs w:val="24"/>
              </w:rPr>
              <w:t xml:space="preserve">(identify the document that will be assessed to evaluate the project's compliance with the environmental objectives or provide information to support this compliance)</w:t>
            </w:r>
          </w:p>
        </w:tc>
      </w:tr>
      <w:tr w:rsidRPr="00B765F3" w:rsidR="00E27C1B" w:rsidTr="00320405" w14:paraId="578F98DC" w14:textId="77777777">
        <w:tc>
          <w:tcPr>
            <w:tcW w:w="3545" w:type="dxa"/>
          </w:tcPr>
          <w:p w:rsidRPr="00B765F3" w:rsidR="00E27C1B" w:rsidP="00320405" w:rsidRDefault="00E27C1B" w14:paraId="1BDC9D89" w14:textId="77777777">
            <w:pPr>
              <w:tabs>
                <w:tab w:val="left" w:pos="289"/>
              </w:tabs>
              <w:ind w:firstLine="5"/>
              <w:jc w:val="both"/>
              <w:rPr>
                <w:rFonts w:eastAsia="Calibri"/>
                <w:szCs w:val="24"/>
              </w:rPr>
            </w:pPr>
            <w:r w:rsidRPr="00B765F3">
              <w:rPr>
                <w:rFonts w:eastAsia="Calibri"/>
                <w:szCs w:val="24"/>
              </w:rPr>
              <w:lastRenderedPageBreak/>
            </w:r>
            <w:r w:rsidRPr="00B765F3">
              <w:rPr>
                <w:rFonts w:eastAsia="Calibri"/>
                <w:szCs w:val="24"/>
              </w:rPr>
              <w:t xml:space="preserve">1.</w:t>
            </w:r>
            <w:r w:rsidRPr="00B765F3">
              <w:rPr>
                <w:rFonts w:eastAsia="Calibri"/>
                <w:szCs w:val="24"/>
              </w:rPr>
              <w:tab/>
            </w:r>
            <w:r w:rsidRPr="00B765F3">
              <w:rPr>
                <w:rFonts w:eastAsia="Calibri"/>
                <w:szCs w:val="24"/>
              </w:rPr>
              <w:t xml:space="preserve">Climate change mitigation</w:t>
            </w:r>
          </w:p>
        </w:tc>
        <w:tc>
          <w:tcPr>
            <w:tcW w:w="7229" w:type="dxa"/>
          </w:tcPr>
          <w:p w:rsidR="00E27C1B" w:rsidP="00320405" w:rsidRDefault="00E27C1B" w14:paraId="79944B23" w14:textId="77777777">
            <w:pPr>
              <w:jc w:val="both"/>
              <w:rPr>
                <w:rFonts w:eastAsia="Calibri"/>
                <w:bCs/>
                <w:szCs w:val="24"/>
              </w:rPr>
            </w:pPr>
            <w:r w:rsidRPr="001A1521">
              <w:rPr>
                <w:rFonts w:eastAsia="Calibri"/>
                <w:bCs/>
                <w:szCs w:val="24"/>
              </w:rPr>
              <w:t xml:space="preserve">The </w:t>
            </w:r>
            <w:r>
              <w:rPr>
                <w:rFonts w:eastAsia="Calibri"/>
                <w:bCs/>
                <w:szCs w:val="24"/>
              </w:rPr>
              <w:t xml:space="preserve">planned </w:t>
            </w:r>
            <w:r>
              <w:rPr>
                <w:rFonts w:eastAsia="Calibri"/>
                <w:bCs/>
                <w:szCs w:val="24"/>
              </w:rPr>
              <w:t xml:space="preserve">project activities </w:t>
            </w:r>
            <w:r w:rsidRPr="001A1521">
              <w:rPr>
                <w:rFonts w:eastAsia="Calibri"/>
                <w:bCs/>
                <w:szCs w:val="24"/>
              </w:rPr>
              <w:t xml:space="preserve">are </w:t>
            </w:r>
            <w:r w:rsidRPr="001A1521">
              <w:rPr>
                <w:rFonts w:eastAsia="Calibri"/>
                <w:bCs/>
                <w:szCs w:val="24"/>
              </w:rPr>
              <w:t xml:space="preserve">not </w:t>
            </w:r>
            <w:r w:rsidRPr="001A1521">
              <w:rPr>
                <w:rFonts w:eastAsia="Calibri"/>
                <w:bCs/>
                <w:szCs w:val="24"/>
              </w:rPr>
              <w:t xml:space="preserve">expected </w:t>
            </w:r>
            <w:r w:rsidRPr="001A1521">
              <w:rPr>
                <w:rFonts w:eastAsia="Calibri"/>
                <w:bCs/>
                <w:szCs w:val="24"/>
              </w:rPr>
              <w:t xml:space="preserve">to have any negative direct or indirect impact on the mitigation objective due</w:t>
            </w:r>
            <w:r w:rsidRPr="00E279A7">
              <w:rPr>
                <w:szCs w:val="24"/>
              </w:rPr>
              <w:t xml:space="preserve"> to the nature </w:t>
            </w:r>
            <w:r>
              <w:rPr>
                <w:rFonts w:eastAsia="Calibri"/>
                <w:bCs/>
                <w:szCs w:val="24"/>
              </w:rPr>
              <w:t xml:space="preserve">of the project activities</w:t>
            </w:r>
            <w:r w:rsidRPr="00E279A7">
              <w:rPr>
                <w:szCs w:val="24"/>
              </w:rPr>
              <w:t xml:space="preserve">, as </w:t>
            </w:r>
            <w:r>
              <w:rPr>
                <w:rFonts w:eastAsia="Calibri"/>
                <w:bCs/>
                <w:szCs w:val="24"/>
              </w:rPr>
              <w:t xml:space="preserve">the project activities </w:t>
            </w:r>
            <w:r w:rsidRPr="001A1521">
              <w:rPr>
                <w:rFonts w:eastAsia="Calibri"/>
                <w:bCs/>
                <w:szCs w:val="24"/>
              </w:rPr>
              <w:t xml:space="preserve">are not expected to result </w:t>
            </w:r>
            <w:r w:rsidRPr="008D0D14">
              <w:rPr>
                <w:rFonts w:eastAsia="Calibri"/>
                <w:bCs/>
                <w:szCs w:val="24"/>
              </w:rPr>
              <w:t xml:space="preserve">in </w:t>
            </w:r>
            <w:r w:rsidRPr="008D0D14">
              <w:rPr>
                <w:rFonts w:eastAsia="Calibri"/>
                <w:bCs/>
                <w:szCs w:val="24"/>
              </w:rPr>
              <w:t xml:space="preserve">the construction of infrastructure that could have a significant impact on climate change and the </w:t>
            </w:r>
            <w:r>
              <w:rPr>
                <w:rFonts w:eastAsia="Calibri"/>
                <w:bCs/>
                <w:szCs w:val="24"/>
              </w:rPr>
              <w:t xml:space="preserve">release</w:t>
            </w:r>
            <w:r w:rsidRPr="001A1521">
              <w:rPr>
                <w:rFonts w:eastAsia="Calibri"/>
                <w:bCs/>
                <w:szCs w:val="24"/>
              </w:rPr>
              <w:t xml:space="preserve"> of greenhouse gases</w:t>
            </w:r>
            <w:r w:rsidRPr="008D0D14">
              <w:rPr>
                <w:rFonts w:eastAsia="Calibri"/>
                <w:bCs/>
                <w:szCs w:val="24"/>
              </w:rPr>
              <w:t xml:space="preserve">.</w:t>
            </w:r>
          </w:p>
          <w:p w:rsidR="00E27C1B" w:rsidP="00320405" w:rsidRDefault="00E27C1B" w14:paraId="49136AA9" w14:textId="77777777">
            <w:pPr>
              <w:jc w:val="both"/>
              <w:rPr>
                <w:bCs/>
                <w:szCs w:val="24"/>
              </w:rPr>
            </w:pPr>
            <w:r>
              <w:rPr>
                <w:rFonts w:eastAsia="Calibri"/>
                <w:bCs/>
                <w:szCs w:val="24"/>
              </w:rPr>
              <w:t xml:space="preserve">The project activities </w:t>
            </w:r>
            <w:r w:rsidRPr="00F254D7">
              <w:rPr>
                <w:rFonts w:eastAsia="Calibri"/>
                <w:bCs/>
                <w:szCs w:val="24"/>
              </w:rPr>
              <w:t xml:space="preserve">will include </w:t>
            </w:r>
            <w:r>
              <w:rPr>
                <w:rFonts w:eastAsia="Calibri"/>
                <w:bCs/>
                <w:szCs w:val="24"/>
              </w:rPr>
              <w:t xml:space="preserve">a</w:t>
            </w:r>
            <w:r w:rsidRPr="00F254D7">
              <w:rPr>
                <w:rFonts w:eastAsia="Calibri"/>
                <w:bCs/>
                <w:szCs w:val="24"/>
              </w:rPr>
              <w:t xml:space="preserve"> commitment </w:t>
            </w:r>
            <w:r w:rsidRPr="00F254D7">
              <w:rPr>
                <w:rFonts w:eastAsia="Calibri"/>
                <w:bCs/>
                <w:szCs w:val="24"/>
              </w:rPr>
              <w:t xml:space="preserve">by the project </w:t>
            </w:r>
            <w:r>
              <w:rPr>
                <w:rFonts w:eastAsia="Calibri"/>
                <w:bCs/>
                <w:szCs w:val="24"/>
              </w:rPr>
              <w:t xml:space="preserve">promoter </w:t>
            </w:r>
            <w:r w:rsidRPr="00F254D7">
              <w:rPr>
                <w:rFonts w:eastAsia="Calibri"/>
                <w:bCs/>
                <w:szCs w:val="24"/>
              </w:rPr>
              <w:t xml:space="preserve">and the financial intermediaries to comply with the deadline of </w:t>
            </w:r>
            <w:r w:rsidRPr="0089135A">
              <w:rPr>
                <w:rFonts w:eastAsia="Calibri"/>
                <w:bCs/>
                <w:szCs w:val="24"/>
              </w:rPr>
              <w:t xml:space="preserve">13 July 2021. </w:t>
            </w:r>
            <w:r>
              <w:rPr>
                <w:rFonts w:eastAsia="Calibri"/>
                <w:bCs/>
                <w:szCs w:val="24"/>
              </w:rPr>
              <w:t xml:space="preserve">The </w:t>
            </w:r>
            <w:r w:rsidRPr="0089135A">
              <w:rPr>
                <w:rFonts w:eastAsia="Calibri"/>
                <w:bCs/>
                <w:szCs w:val="24"/>
              </w:rPr>
              <w:t xml:space="preserve">Commission Communication </w:t>
            </w:r>
            <w:r w:rsidRPr="00034ECF">
              <w:rPr>
                <w:rFonts w:eastAsia="Calibri"/>
                <w:bCs/>
                <w:iCs/>
                <w:szCs w:val="24"/>
              </w:rPr>
              <w:t xml:space="preserve">"</w:t>
            </w:r>
            <w:r w:rsidRPr="0089135A">
              <w:rPr>
                <w:rFonts w:eastAsia="Calibri"/>
                <w:bCs/>
                <w:szCs w:val="24"/>
              </w:rPr>
              <w:t xml:space="preserve">Technical Guidelines for the Sustainability Screening of Operations Supported by the </w:t>
            </w:r>
            <w:r w:rsidRPr="0089135A">
              <w:rPr>
                <w:rFonts w:eastAsia="Calibri"/>
                <w:bCs/>
                <w:szCs w:val="24"/>
              </w:rPr>
              <w:t xml:space="preserve">InvestEU </w:t>
            </w:r>
            <w:r w:rsidRPr="0089135A">
              <w:rPr>
                <w:rFonts w:eastAsia="Calibri"/>
                <w:bCs/>
                <w:szCs w:val="24"/>
              </w:rPr>
              <w:t xml:space="preserve">Fund" (2021/C 280/01). </w:t>
            </w:r>
            <w:r w:rsidRPr="00864699">
              <w:rPr>
                <w:bCs/>
                <w:szCs w:val="24"/>
              </w:rPr>
              <w:t xml:space="preserve">It will also include a requirement for the Authorised Entity </w:t>
            </w:r>
            <w:r>
              <w:rPr>
                <w:bCs/>
              </w:rPr>
              <w:t xml:space="preserve">or </w:t>
            </w:r>
            <w:r w:rsidRPr="00864699">
              <w:rPr>
                <w:bCs/>
                <w:szCs w:val="24"/>
              </w:rPr>
              <w:t xml:space="preserve">Financial Intermediary to verify that the project promoter or beneficiary complies with </w:t>
            </w:r>
            <w:r>
              <w:rPr>
                <w:bCs/>
                <w:szCs w:val="24"/>
              </w:rPr>
              <w:t xml:space="preserve">EU </w:t>
            </w:r>
            <w:r w:rsidRPr="00864699">
              <w:rPr>
                <w:bCs/>
                <w:szCs w:val="24"/>
              </w:rPr>
              <w:t xml:space="preserve">and national environmental legislation and the sustainability requirements for transactions.</w:t>
            </w:r>
          </w:p>
          <w:p w:rsidRPr="00A7156B" w:rsidR="00E27C1B" w:rsidP="00320405" w:rsidRDefault="00E27C1B" w14:paraId="08EFB36F" w14:textId="77777777">
            <w:pPr>
              <w:jc w:val="both"/>
              <w:rPr>
                <w:rFonts w:eastAsia="Calibri"/>
                <w:bCs/>
                <w:strike/>
                <w:szCs w:val="24"/>
              </w:rPr>
            </w:pPr>
            <w:r>
              <w:rPr>
                <w:rFonts w:eastAsia="Calibri"/>
                <w:bCs/>
                <w:szCs w:val="24"/>
              </w:rPr>
              <w:t xml:space="preserve">In the case of </w:t>
            </w:r>
            <w:r>
              <w:rPr>
                <w:rFonts w:eastAsia="Calibri"/>
                <w:bCs/>
                <w:szCs w:val="24"/>
              </w:rPr>
              <w:t xml:space="preserve">micro, small and medium-sized enterprises </w:t>
            </w:r>
            <w:r w:rsidRPr="00AE2B1B">
              <w:rPr>
                <w:rFonts w:eastAsia="Calibri"/>
                <w:bCs/>
                <w:szCs w:val="24"/>
              </w:rPr>
              <w:t xml:space="preserve">with </w:t>
            </w:r>
            <w:r w:rsidRPr="00AE2B1B">
              <w:rPr>
                <w:rFonts w:eastAsia="Calibri"/>
                <w:bCs/>
                <w:szCs w:val="24"/>
              </w:rPr>
              <w:t xml:space="preserve">more than </w:t>
            </w:r>
            <w:r>
              <w:rPr>
                <w:rFonts w:eastAsia="Calibri"/>
                <w:bCs/>
                <w:szCs w:val="24"/>
              </w:rPr>
              <w:t xml:space="preserve">50%</w:t>
            </w:r>
            <w:r w:rsidRPr="00AE2B1B">
              <w:rPr>
                <w:rFonts w:eastAsia="Calibri"/>
                <w:bCs/>
                <w:szCs w:val="24"/>
              </w:rPr>
              <w:t xml:space="preserve"> of their revenue coming </w:t>
            </w:r>
            <w:r w:rsidRPr="00AE2B1B">
              <w:rPr>
                <w:rFonts w:eastAsia="Calibri"/>
                <w:bCs/>
                <w:szCs w:val="24"/>
              </w:rPr>
              <w:t xml:space="preserve">from activities included in the list of exemptions, such entities will be required to adopt and publish green transformation ("green transition") plans.</w:t>
            </w:r>
          </w:p>
        </w:tc>
        <w:tc>
          <w:tcPr>
            <w:tcW w:w="4224" w:type="dxa"/>
          </w:tcPr>
          <w:p w:rsidRPr="00B765F3" w:rsidR="00E27C1B" w:rsidP="00320405" w:rsidRDefault="00E27C1B" w14:paraId="6EC35B39" w14:textId="77777777">
            <w:pPr>
              <w:tabs>
                <w:tab w:val="left" w:pos="589"/>
              </w:tabs>
              <w:jc w:val="both"/>
              <w:rPr>
                <w:rFonts w:eastAsia="Calibri"/>
                <w:i/>
                <w:sz w:val="20"/>
              </w:rPr>
            </w:pPr>
            <w:r w:rsidRPr="00C16059">
              <w:rPr>
                <w:rFonts w:eastAsia="Calibri"/>
                <w:bCs/>
                <w:szCs w:val="24"/>
              </w:rPr>
              <w:t xml:space="preserve">In accordance with the 4 June 2021. Commission Delegated Regulation (EU) 2021/2139 supplementing Regulation (EU) 2020/852 of the European Parliament and of the Council by laying down technical analysis criteria for determining under which conditions an economic activity is considered to make a significant contribution to mitigating or adapting to climate change, and whether the economic activity does not cause significant harm to other environmental </w:t>
            </w:r>
            <w:r w:rsidRPr="00426CF2">
              <w:rPr>
                <w:rFonts w:eastAsia="Calibri"/>
                <w:bCs/>
                <w:szCs w:val="24"/>
              </w:rPr>
              <w:t xml:space="preserve">objectives, as </w:t>
            </w:r>
            <w:r>
              <w:rPr>
                <w:rFonts w:eastAsia="Calibri"/>
                <w:bCs/>
                <w:szCs w:val="24"/>
              </w:rPr>
              <w:t xml:space="preserve">last </w:t>
            </w:r>
            <w:r>
              <w:rPr>
                <w:rFonts w:eastAsia="Calibri"/>
                <w:bCs/>
                <w:szCs w:val="24"/>
              </w:rPr>
              <w:t xml:space="preserve">amended</w:t>
            </w:r>
            <w:r w:rsidRPr="00426CF2">
              <w:rPr>
                <w:rFonts w:eastAsia="Calibri"/>
                <w:bCs/>
                <w:szCs w:val="24"/>
              </w:rPr>
              <w:t xml:space="preserve"> </w:t>
            </w:r>
            <w:r w:rsidRPr="00C16059">
              <w:rPr>
                <w:rFonts w:eastAsia="Calibri"/>
                <w:bCs/>
                <w:szCs w:val="24"/>
              </w:rPr>
              <w:t xml:space="preserve">on 27 </w:t>
            </w:r>
            <w:r>
              <w:rPr>
                <w:rFonts w:eastAsia="Calibri"/>
                <w:bCs/>
                <w:szCs w:val="24"/>
              </w:rPr>
              <w:t xml:space="preserve">June </w:t>
            </w:r>
            <w:r>
              <w:rPr>
                <w:rFonts w:eastAsia="Calibri"/>
                <w:bCs/>
                <w:szCs w:val="24"/>
              </w:rPr>
              <w:t xml:space="preserve">2023</w:t>
            </w:r>
            <w:r w:rsidRPr="00C16059">
              <w:rPr>
                <w:rFonts w:eastAsia="Calibri"/>
                <w:bCs/>
                <w:szCs w:val="24"/>
              </w:rPr>
              <w:t xml:space="preserve">. </w:t>
            </w:r>
            <w:r>
              <w:rPr>
                <w:rFonts w:eastAsia="Calibri"/>
                <w:bCs/>
                <w:szCs w:val="24"/>
              </w:rPr>
              <w:t xml:space="preserve">Commission Delegated Regulation (EU) 2023/2485, the </w:t>
            </w:r>
            <w:r w:rsidRPr="00C16059">
              <w:rPr>
                <w:rFonts w:eastAsia="Calibri"/>
                <w:bCs/>
                <w:szCs w:val="24"/>
              </w:rPr>
              <w:t xml:space="preserve">requirements set out in the relevant chapters of Annex I for the activities concerned (e.g. in the case of the acquisition of </w:t>
            </w:r>
            <w:r>
              <w:rPr>
                <w:rFonts w:eastAsia="Calibri"/>
                <w:bCs/>
                <w:szCs w:val="24"/>
              </w:rPr>
              <w:t xml:space="preserve">information technology (</w:t>
            </w:r>
            <w:r w:rsidRPr="00C16059">
              <w:rPr>
                <w:rFonts w:eastAsia="Calibri"/>
                <w:bCs/>
                <w:szCs w:val="24"/>
              </w:rPr>
              <w:t xml:space="preserve">IT</w:t>
            </w:r>
            <w:r>
              <w:rPr>
                <w:rFonts w:eastAsia="Calibri"/>
                <w:bCs/>
                <w:szCs w:val="24"/>
              </w:rPr>
              <w:t xml:space="preserve">) </w:t>
            </w:r>
            <w:r w:rsidRPr="00C16059">
              <w:rPr>
                <w:rFonts w:eastAsia="Calibri"/>
                <w:bCs/>
                <w:szCs w:val="24"/>
              </w:rPr>
              <w:t xml:space="preserve">equipment, the technical analysis criteria set out in the relevant sections of Chapter 8 of Annex I to Delegated Regulation (EU) 2021/2139, etc.), with these requirements being set out in the relevant documents (e.g, The applicant must provide documentation demonstrating that the IT equipment to be acquired complies with the above technical analysis criteria. This may include procurement documents, equipment descriptions,</w:t>
            </w:r>
            <w:r w:rsidRPr="00C16059">
              <w:rPr>
                <w:rFonts w:eastAsia="Calibri"/>
                <w:bCs/>
                <w:szCs w:val="24"/>
              </w:rPr>
              <w:lastRenderedPageBreak/>
            </w:r>
            <w:r w:rsidRPr="00C16059">
              <w:rPr>
                <w:rFonts w:eastAsia="Calibri"/>
                <w:bCs/>
                <w:szCs w:val="24"/>
              </w:rPr>
              <w:t xml:space="preserve"> technical specifications and other documents.</w:t>
            </w:r>
          </w:p>
        </w:tc>
      </w:tr>
      <w:tr w:rsidRPr="00B765F3" w:rsidR="00E27C1B" w:rsidTr="00320405" w14:paraId="139E3E09" w14:textId="77777777">
        <w:tc>
          <w:tcPr>
            <w:tcW w:w="3545" w:type="dxa"/>
          </w:tcPr>
          <w:p w:rsidRPr="00B765F3" w:rsidR="00E27C1B" w:rsidP="00320405" w:rsidRDefault="00E27C1B" w14:paraId="3AE81334" w14:textId="77777777">
            <w:pPr>
              <w:tabs>
                <w:tab w:val="left" w:pos="289"/>
              </w:tabs>
              <w:ind w:firstLine="5"/>
              <w:jc w:val="both"/>
              <w:rPr>
                <w:rFonts w:eastAsia="Calibri"/>
                <w:szCs w:val="24"/>
              </w:rPr>
            </w:pPr>
            <w:r w:rsidRPr="00B765F3">
              <w:rPr>
                <w:rFonts w:eastAsia="Calibri"/>
                <w:szCs w:val="24"/>
              </w:rPr>
              <w:lastRenderedPageBreak/>
            </w:r>
            <w:r w:rsidRPr="00B765F3">
              <w:rPr>
                <w:rFonts w:eastAsia="Calibri"/>
                <w:szCs w:val="24"/>
              </w:rPr>
              <w:t xml:space="preserve">2.</w:t>
            </w:r>
            <w:r w:rsidRPr="00B765F3">
              <w:rPr>
                <w:rFonts w:eastAsia="Calibri"/>
                <w:szCs w:val="24"/>
              </w:rPr>
              <w:tab/>
            </w:r>
            <w:r w:rsidRPr="00B765F3">
              <w:rPr>
                <w:rFonts w:eastAsia="Calibri"/>
                <w:szCs w:val="24"/>
              </w:rPr>
              <w:t xml:space="preserve">Adaptation to climate change</w:t>
            </w:r>
          </w:p>
        </w:tc>
        <w:tc>
          <w:tcPr>
            <w:tcW w:w="7229" w:type="dxa"/>
          </w:tcPr>
          <w:p w:rsidRPr="00B765F3" w:rsidR="00E27C1B" w:rsidP="00320405" w:rsidRDefault="00E27C1B" w14:paraId="74357F37" w14:textId="77777777">
            <w:pPr>
              <w:jc w:val="both"/>
              <w:rPr>
                <w:rFonts w:eastAsia="Calibri"/>
                <w:bCs/>
                <w:szCs w:val="24"/>
              </w:rPr>
            </w:pPr>
            <w:r w:rsidRPr="00B55219">
              <w:rPr>
                <w:bCs/>
                <w:szCs w:val="24"/>
              </w:rPr>
              <w:t xml:space="preserve">The </w:t>
            </w:r>
            <w:r>
              <w:rPr>
                <w:bCs/>
                <w:szCs w:val="24"/>
              </w:rPr>
              <w:t xml:space="preserve">planned </w:t>
            </w:r>
            <w:r>
              <w:rPr>
                <w:bCs/>
                <w:szCs w:val="24"/>
              </w:rPr>
              <w:t xml:space="preserve">project activities </w:t>
            </w:r>
            <w:r w:rsidRPr="00B55219">
              <w:rPr>
                <w:bCs/>
                <w:szCs w:val="24"/>
              </w:rPr>
              <w:t xml:space="preserve">are assessed </w:t>
            </w:r>
            <w:r w:rsidRPr="00B55219">
              <w:rPr>
                <w:bCs/>
                <w:szCs w:val="24"/>
              </w:rPr>
              <w:t xml:space="preserve">to have </w:t>
            </w:r>
            <w:r>
              <w:rPr>
                <w:bCs/>
                <w:szCs w:val="24"/>
              </w:rPr>
              <w:t xml:space="preserve">no </w:t>
            </w:r>
            <w:r w:rsidRPr="00C60FAF">
              <w:rPr>
                <w:szCs w:val="24"/>
              </w:rPr>
              <w:t xml:space="preserve">negative direct or indirect impact on the objective of climate change adaptation as no infrastructure is planned (new construction or upgrading of infrastructure) and the planned equipment to be purchased will have to comply with generally applicable EU standards and will be disposed of in accordance with all necessary requirements</w:t>
            </w:r>
            <w:r w:rsidRPr="00C60FAF">
              <w:rPr>
                <w:bCs/>
                <w:szCs w:val="24"/>
              </w:rPr>
              <w:t xml:space="preserve">.</w:t>
            </w:r>
          </w:p>
        </w:tc>
        <w:tc>
          <w:tcPr>
            <w:tcW w:w="4224" w:type="dxa"/>
          </w:tcPr>
          <w:p w:rsidRPr="00B765F3" w:rsidR="00E27C1B" w:rsidP="00320405" w:rsidRDefault="00E27C1B" w14:paraId="435E4C34" w14:textId="77777777">
            <w:pPr>
              <w:jc w:val="both"/>
              <w:rPr>
                <w:rFonts w:eastAsia="Calibri"/>
                <w:bCs/>
                <w:szCs w:val="24"/>
              </w:rPr>
            </w:pPr>
            <w:r>
              <w:rPr>
                <w:rFonts w:eastAsia="Calibri"/>
                <w:bCs/>
                <w:szCs w:val="24"/>
              </w:rPr>
              <w:t xml:space="preserve">In accordance with the </w:t>
            </w:r>
            <w:r>
              <w:rPr>
                <w:rFonts w:eastAsia="Calibri"/>
                <w:bCs/>
                <w:szCs w:val="24"/>
              </w:rPr>
              <w:t xml:space="preserve">requirements set out in the </w:t>
            </w:r>
            <w:r w:rsidRPr="00DA19A9">
              <w:rPr>
                <w:rFonts w:eastAsia="Calibri"/>
                <w:bCs/>
                <w:szCs w:val="24"/>
              </w:rPr>
              <w:t xml:space="preserve">relevant </w:t>
            </w:r>
            <w:r>
              <w:rPr>
                <w:rFonts w:eastAsia="Calibri"/>
                <w:bCs/>
                <w:szCs w:val="24"/>
              </w:rPr>
              <w:t xml:space="preserve">chapters </w:t>
            </w:r>
            <w:r>
              <w:rPr>
                <w:rFonts w:eastAsia="Calibri"/>
                <w:bCs/>
                <w:szCs w:val="24"/>
              </w:rPr>
              <w:t xml:space="preserve">of Annex</w:t>
            </w:r>
            <w:r w:rsidRPr="00DA19A9">
              <w:rPr>
                <w:rFonts w:eastAsia="Calibri"/>
                <w:bCs/>
                <w:szCs w:val="24"/>
              </w:rPr>
              <w:t xml:space="preserve"> II </w:t>
            </w:r>
            <w:r>
              <w:rPr>
                <w:rFonts w:eastAsia="Calibri"/>
                <w:bCs/>
                <w:szCs w:val="24"/>
              </w:rPr>
              <w:t xml:space="preserve">to </w:t>
            </w:r>
            <w:r>
              <w:rPr>
                <w:rFonts w:eastAsia="Calibri"/>
                <w:bCs/>
                <w:szCs w:val="24"/>
              </w:rPr>
              <w:t xml:space="preserve">Delegated </w:t>
            </w:r>
            <w:r w:rsidRPr="00DA19A9">
              <w:rPr>
                <w:rFonts w:eastAsia="Calibri"/>
                <w:bCs/>
                <w:szCs w:val="24"/>
              </w:rPr>
              <w:t xml:space="preserve">Regulation (EU) 2021/2139 </w:t>
            </w:r>
            <w:r w:rsidRPr="00DA19A9">
              <w:rPr>
                <w:rFonts w:eastAsia="Calibri"/>
                <w:bCs/>
                <w:szCs w:val="24"/>
              </w:rPr>
              <w:t xml:space="preserve">for the activities concerned </w:t>
            </w:r>
            <w:r w:rsidRPr="00B14D57">
              <w:rPr>
                <w:rFonts w:eastAsia="Calibri"/>
                <w:bCs/>
                <w:szCs w:val="24"/>
              </w:rPr>
              <w:t xml:space="preserve">(e.g. for the acquisition of IT equipment, the </w:t>
            </w:r>
            <w:r w:rsidRPr="00DA19A9">
              <w:rPr>
                <w:rFonts w:eastAsia="Calibri"/>
                <w:bCs/>
                <w:szCs w:val="24"/>
              </w:rPr>
              <w:t xml:space="preserve">technical analysis criteria set out in </w:t>
            </w:r>
            <w:r>
              <w:rPr>
                <w:rFonts w:eastAsia="Calibri"/>
                <w:bCs/>
                <w:szCs w:val="24"/>
              </w:rPr>
              <w:t xml:space="preserve">the relevant sections of Chapter</w:t>
            </w:r>
            <w:r w:rsidRPr="00F32127">
              <w:rPr>
                <w:rFonts w:eastAsia="Calibri"/>
                <w:bCs/>
                <w:szCs w:val="24"/>
              </w:rPr>
              <w:t xml:space="preserve"> 8 </w:t>
            </w:r>
            <w:r>
              <w:rPr>
                <w:rFonts w:eastAsia="Calibri"/>
                <w:bCs/>
                <w:szCs w:val="24"/>
              </w:rPr>
              <w:t xml:space="preserve">of </w:t>
            </w:r>
            <w:r w:rsidRPr="00B14D57">
              <w:rPr>
                <w:rFonts w:eastAsia="Calibri"/>
                <w:bCs/>
                <w:szCs w:val="24"/>
              </w:rPr>
              <w:t xml:space="preserve">Annex               </w:t>
            </w:r>
            <w:r>
              <w:rPr>
                <w:rFonts w:eastAsia="Calibri"/>
                <w:bCs/>
                <w:szCs w:val="24"/>
              </w:rPr>
              <w:t xml:space="preserve">II</w:t>
            </w:r>
            <w:r w:rsidRPr="00B14D57">
              <w:rPr>
                <w:rFonts w:eastAsia="Calibri"/>
                <w:bCs/>
                <w:szCs w:val="24"/>
              </w:rPr>
              <w:t xml:space="preserve"> to Delegated Regulation (EU) 2021/2139</w:t>
            </w:r>
            <w:r>
              <w:rPr>
                <w:rFonts w:eastAsia="Calibri"/>
                <w:bCs/>
                <w:szCs w:val="24"/>
              </w:rPr>
              <w:t xml:space="preserve">, </w:t>
            </w:r>
            <w:r w:rsidRPr="00DA19A9">
              <w:rPr>
                <w:rFonts w:eastAsia="Calibri"/>
                <w:bCs/>
                <w:szCs w:val="24"/>
              </w:rPr>
              <w:t xml:space="preserve">etc</w:t>
            </w:r>
            <w:r>
              <w:rPr>
                <w:rFonts w:eastAsia="Calibri"/>
                <w:bCs/>
                <w:szCs w:val="24"/>
              </w:rPr>
              <w:t xml:space="preserve">.</w:t>
            </w:r>
            <w:r w:rsidRPr="00DA19A9">
              <w:rPr>
                <w:rFonts w:eastAsia="Calibri"/>
                <w:bCs/>
                <w:szCs w:val="24"/>
              </w:rPr>
              <w:t xml:space="preserve">), and in the </w:t>
            </w:r>
            <w:r w:rsidRPr="00171E8F">
              <w:rPr>
                <w:rFonts w:eastAsia="Calibri"/>
                <w:bCs/>
                <w:szCs w:val="24"/>
              </w:rPr>
              <w:t xml:space="preserve">context of the relevant documents (e.g. procurement documents, etc.), the </w:t>
            </w:r>
            <w:r w:rsidRPr="004033A5">
              <w:rPr>
                <w:rFonts w:eastAsia="Calibri"/>
                <w:bCs/>
                <w:szCs w:val="24"/>
              </w:rPr>
              <w:t xml:space="preserve">applicant must provide documents demonstrating that the acquisition of the IT equipment concerned meets the technical analysis criteria set out above. This may include procurement documents, equipment descriptions, technical specifications and other documents.</w:t>
            </w:r>
          </w:p>
        </w:tc>
      </w:tr>
      <w:tr w:rsidRPr="00B765F3" w:rsidR="00E27C1B" w:rsidTr="00320405" w14:paraId="5ED41B15" w14:textId="77777777">
        <w:tc>
          <w:tcPr>
            <w:tcW w:w="3545" w:type="dxa"/>
          </w:tcPr>
          <w:p w:rsidRPr="00B765F3" w:rsidR="00E27C1B" w:rsidP="00320405" w:rsidRDefault="00E27C1B" w14:paraId="38BE9C43" w14:textId="77777777">
            <w:pPr>
              <w:tabs>
                <w:tab w:val="left" w:pos="289"/>
              </w:tabs>
              <w:ind w:firstLine="5"/>
              <w:jc w:val="both"/>
              <w:rPr>
                <w:rFonts w:eastAsia="Calibri"/>
                <w:szCs w:val="24"/>
              </w:rPr>
            </w:pPr>
            <w:r w:rsidRPr="00B765F3">
              <w:rPr>
                <w:rFonts w:eastAsia="Calibri"/>
                <w:szCs w:val="24"/>
              </w:rPr>
              <w:t xml:space="preserve">3.</w:t>
            </w:r>
            <w:r w:rsidRPr="00B765F3">
              <w:rPr>
                <w:rFonts w:eastAsia="Calibri"/>
                <w:szCs w:val="24"/>
              </w:rPr>
              <w:tab/>
            </w:r>
            <w:r w:rsidRPr="00B765F3">
              <w:rPr>
                <w:rFonts w:eastAsia="Calibri"/>
                <w:szCs w:val="24"/>
              </w:rPr>
              <w:t xml:space="preserve">Sustainable use and protection of water and marine resources</w:t>
            </w:r>
          </w:p>
        </w:tc>
        <w:tc>
          <w:tcPr>
            <w:tcW w:w="7229" w:type="dxa"/>
          </w:tcPr>
          <w:p w:rsidRPr="002015D1" w:rsidR="00E27C1B" w:rsidP="00320405" w:rsidRDefault="00E27C1B" w14:paraId="037D8AA3" w14:textId="77777777">
            <w:pPr>
              <w:jc w:val="both"/>
              <w:rPr>
                <w:bCs/>
                <w:szCs w:val="24"/>
              </w:rPr>
            </w:pPr>
            <w:r w:rsidRPr="00FE2310">
              <w:rPr>
                <w:bCs/>
                <w:szCs w:val="24"/>
              </w:rPr>
              <w:t xml:space="preserve">The </w:t>
            </w:r>
            <w:r>
              <w:rPr>
                <w:bCs/>
                <w:szCs w:val="24"/>
              </w:rPr>
              <w:t xml:space="preserve">planned </w:t>
            </w:r>
            <w:r>
              <w:rPr>
                <w:bCs/>
                <w:szCs w:val="24"/>
              </w:rPr>
              <w:t xml:space="preserve">project activities </w:t>
            </w:r>
            <w:r w:rsidRPr="00FE2310">
              <w:rPr>
                <w:bCs/>
                <w:szCs w:val="24"/>
              </w:rPr>
              <w:t xml:space="preserve">are assessed </w:t>
            </w:r>
            <w:r w:rsidRPr="00FE2310">
              <w:rPr>
                <w:bCs/>
                <w:szCs w:val="24"/>
              </w:rPr>
              <w:t xml:space="preserve">to have no </w:t>
            </w:r>
            <w:r w:rsidRPr="007635F0">
              <w:rPr>
                <w:bCs/>
                <w:szCs w:val="24"/>
              </w:rPr>
              <w:t xml:space="preserve">negative direct and indirect impacts on this environmental objective as no infrastructure is foreseen in the vicinity of the water bodies that could affect the sustainable use of water and marine resources, and the planned acquisition of equipment will have to comply with EU-wide standards and be disposed of in accordance with all necessary requirements</w:t>
            </w:r>
            <w:r>
              <w:rPr>
                <w:bCs/>
                <w:szCs w:val="24"/>
              </w:rPr>
              <w:t xml:space="preserve">.</w:t>
            </w:r>
          </w:p>
        </w:tc>
        <w:tc>
          <w:tcPr>
            <w:tcW w:w="4224" w:type="dxa"/>
          </w:tcPr>
          <w:p w:rsidRPr="00B765F3" w:rsidR="00E27C1B" w:rsidP="00320405" w:rsidRDefault="00E27C1B" w14:paraId="023C4FF5" w14:textId="77777777">
            <w:pPr>
              <w:jc w:val="both"/>
              <w:rPr>
                <w:rFonts w:eastAsia="Calibri"/>
                <w:bCs/>
                <w:szCs w:val="24"/>
              </w:rPr>
            </w:pPr>
            <w:r w:rsidRPr="00B765F3">
              <w:rPr>
                <w:rFonts w:eastAsia="Calibri"/>
                <w:bCs/>
                <w:szCs w:val="24"/>
              </w:rPr>
              <w:t xml:space="preserve">In accordance with the </w:t>
            </w:r>
            <w:r w:rsidRPr="008D2434">
              <w:rPr>
                <w:rFonts w:eastAsia="Calibri"/>
                <w:bCs/>
                <w:szCs w:val="24"/>
              </w:rPr>
              <w:t xml:space="preserve">requirements set out in the </w:t>
            </w:r>
            <w:r w:rsidRPr="008D2434">
              <w:rPr>
                <w:rFonts w:eastAsia="Calibri"/>
                <w:bCs/>
                <w:szCs w:val="24"/>
              </w:rPr>
              <w:t xml:space="preserve">relevant </w:t>
            </w:r>
            <w:r>
              <w:rPr>
                <w:rFonts w:eastAsia="Calibri"/>
                <w:bCs/>
                <w:szCs w:val="24"/>
              </w:rPr>
              <w:t xml:space="preserve">chapters </w:t>
            </w:r>
            <w:r w:rsidRPr="006E5532">
              <w:rPr>
                <w:rFonts w:eastAsia="Calibri"/>
                <w:bCs/>
                <w:szCs w:val="24"/>
              </w:rPr>
              <w:t xml:space="preserve">of </w:t>
            </w:r>
            <w:r>
              <w:rPr>
                <w:rFonts w:eastAsia="Calibri"/>
                <w:bCs/>
                <w:szCs w:val="24"/>
              </w:rPr>
              <w:t xml:space="preserve">Annexes </w:t>
            </w:r>
            <w:r w:rsidRPr="006E5532">
              <w:rPr>
                <w:rFonts w:eastAsia="Calibri"/>
                <w:bCs/>
                <w:szCs w:val="24"/>
              </w:rPr>
              <w:t xml:space="preserve">I </w:t>
            </w:r>
            <w:r>
              <w:rPr>
                <w:rFonts w:eastAsia="Calibri"/>
                <w:bCs/>
                <w:szCs w:val="24"/>
              </w:rPr>
              <w:t xml:space="preserve">and </w:t>
            </w:r>
            <w:r w:rsidRPr="006E5532">
              <w:rPr>
                <w:rFonts w:eastAsia="Calibri"/>
                <w:bCs/>
                <w:szCs w:val="24"/>
              </w:rPr>
              <w:t xml:space="preserve">II of </w:t>
            </w:r>
            <w:r>
              <w:rPr>
                <w:rFonts w:eastAsia="Calibri"/>
                <w:bCs/>
                <w:szCs w:val="24"/>
              </w:rPr>
              <w:t xml:space="preserve">Delegated </w:t>
            </w:r>
            <w:r w:rsidRPr="006E5532">
              <w:rPr>
                <w:rFonts w:eastAsia="Calibri"/>
                <w:bCs/>
                <w:szCs w:val="24"/>
              </w:rPr>
              <w:t xml:space="preserve">Regulation (EU) 2021/2139 </w:t>
            </w:r>
            <w:r w:rsidRPr="008D2434">
              <w:rPr>
                <w:rFonts w:eastAsia="Calibri"/>
                <w:bCs/>
                <w:szCs w:val="24"/>
              </w:rPr>
              <w:t xml:space="preserve">for the relevant activities </w:t>
            </w:r>
            <w:r w:rsidRPr="006E5532">
              <w:rPr>
                <w:rFonts w:eastAsia="Calibri"/>
                <w:bCs/>
                <w:szCs w:val="24"/>
              </w:rPr>
              <w:t xml:space="preserve">(e.g. for the acquisition of IT equipment, the </w:t>
            </w:r>
            <w:r w:rsidRPr="006E5532">
              <w:rPr>
                <w:rFonts w:eastAsia="Calibri"/>
                <w:bCs/>
                <w:szCs w:val="24"/>
              </w:rPr>
              <w:t xml:space="preserve">technical analysis criteria set out in</w:t>
            </w:r>
            <w:r>
              <w:rPr>
                <w:rFonts w:eastAsia="Calibri"/>
                <w:bCs/>
                <w:szCs w:val="24"/>
              </w:rPr>
              <w:t xml:space="preserve"> the relevant sections of Chapter 8 of Annex I and Chapter 8 of Annex II of </w:t>
            </w:r>
            <w:r>
              <w:rPr>
                <w:rFonts w:eastAsia="Calibri"/>
                <w:bCs/>
                <w:szCs w:val="24"/>
              </w:rPr>
              <w:t xml:space="preserve">Delegated </w:t>
            </w:r>
            <w:r w:rsidRPr="00DA19A9">
              <w:rPr>
                <w:rFonts w:eastAsia="Calibri"/>
                <w:bCs/>
                <w:szCs w:val="24"/>
              </w:rPr>
              <w:t xml:space="preserve">Regulation (EU) 2021/2139</w:t>
            </w:r>
            <w:r w:rsidRPr="006E5532">
              <w:rPr>
                <w:rFonts w:eastAsia="Calibri"/>
                <w:bCs/>
                <w:szCs w:val="24"/>
              </w:rPr>
              <w:t xml:space="preserve">, </w:t>
            </w:r>
            <w:r w:rsidRPr="006E5532">
              <w:rPr>
                <w:rFonts w:eastAsia="Calibri"/>
                <w:bCs/>
                <w:szCs w:val="24"/>
              </w:rPr>
              <w:t xml:space="preserve">and</w:t>
            </w:r>
            <w:r w:rsidRPr="006E5532">
              <w:rPr>
                <w:rFonts w:eastAsia="Calibri"/>
                <w:bCs/>
                <w:szCs w:val="24"/>
              </w:rPr>
              <w:lastRenderedPageBreak/>
            </w:r>
            <w:r w:rsidRPr="006E5532">
              <w:rPr>
                <w:rFonts w:eastAsia="Calibri"/>
                <w:bCs/>
                <w:szCs w:val="24"/>
              </w:rPr>
              <w:t xml:space="preserve"> , </w:t>
            </w:r>
            <w:r w:rsidRPr="004033A5">
              <w:rPr>
                <w:rFonts w:eastAsia="Calibri"/>
                <w:bCs/>
                <w:szCs w:val="24"/>
              </w:rPr>
              <w:t xml:space="preserve">In the </w:t>
            </w:r>
            <w:r w:rsidRPr="004033A5">
              <w:rPr>
                <w:rFonts w:eastAsia="Calibri"/>
                <w:bCs/>
                <w:szCs w:val="24"/>
              </w:rPr>
              <w:t xml:space="preserve">case of </w:t>
            </w:r>
            <w:r w:rsidRPr="004033A5">
              <w:rPr>
                <w:rFonts w:eastAsia="Calibri"/>
                <w:bCs/>
                <w:szCs w:val="24"/>
              </w:rPr>
              <w:t xml:space="preserve">IT equipment to be acquired (</w:t>
            </w:r>
            <w:r w:rsidRPr="006E5532">
              <w:rPr>
                <w:rFonts w:eastAsia="Calibri"/>
                <w:bCs/>
                <w:szCs w:val="24"/>
              </w:rPr>
              <w:t xml:space="preserve">e.g. in procurement documents, etc.)</w:t>
            </w:r>
            <w:r>
              <w:rPr>
                <w:rFonts w:eastAsia="Calibri"/>
                <w:bCs/>
                <w:szCs w:val="24"/>
              </w:rPr>
              <w:t xml:space="preserve">, the </w:t>
            </w:r>
            <w:r w:rsidRPr="004033A5">
              <w:rPr>
                <w:rFonts w:eastAsia="Calibri"/>
                <w:bCs/>
                <w:szCs w:val="24"/>
              </w:rPr>
              <w:t xml:space="preserve">applicant must provide documentation demonstrating that the IT equipment to be acquired complies with the abovementioned technical analysis criteria. This may include procurement documents, equipment descriptions, technical specifications and other documents.</w:t>
            </w:r>
          </w:p>
        </w:tc>
      </w:tr>
      <w:tr w:rsidRPr="00B765F3" w:rsidR="00E27C1B" w:rsidTr="00320405" w14:paraId="4292EDBE" w14:textId="77777777">
        <w:tc>
          <w:tcPr>
            <w:tcW w:w="3545" w:type="dxa"/>
          </w:tcPr>
          <w:p w:rsidRPr="00B765F3" w:rsidR="00E27C1B" w:rsidP="00320405" w:rsidRDefault="00E27C1B" w14:paraId="0A1FCD80" w14:textId="77777777">
            <w:pPr>
              <w:tabs>
                <w:tab w:val="left" w:pos="289"/>
              </w:tabs>
              <w:ind w:firstLine="5"/>
              <w:jc w:val="both"/>
              <w:rPr>
                <w:rFonts w:eastAsia="Calibri"/>
                <w:szCs w:val="24"/>
              </w:rPr>
            </w:pPr>
            <w:r w:rsidRPr="00B765F3">
              <w:rPr>
                <w:rFonts w:eastAsia="Calibri"/>
                <w:szCs w:val="24"/>
              </w:rPr>
              <w:lastRenderedPageBreak/>
            </w:r>
            <w:r w:rsidRPr="00B765F3">
              <w:rPr>
                <w:rFonts w:eastAsia="Calibri"/>
                <w:szCs w:val="24"/>
              </w:rPr>
              <w:t xml:space="preserve">4.</w:t>
            </w:r>
            <w:r w:rsidRPr="00B765F3">
              <w:rPr>
                <w:rFonts w:eastAsia="Calibri"/>
                <w:szCs w:val="24"/>
              </w:rPr>
              <w:tab/>
            </w:r>
            <w:r>
              <w:rPr>
                <w:rFonts w:eastAsia="Calibri"/>
                <w:szCs w:val="24"/>
              </w:rPr>
              <w:t xml:space="preserve">Moving towards </w:t>
            </w:r>
            <w:r w:rsidRPr="00B765F3">
              <w:rPr>
                <w:rFonts w:eastAsia="Calibri"/>
                <w:szCs w:val="24"/>
              </w:rPr>
              <w:t xml:space="preserve">a </w:t>
            </w:r>
            <w:r>
              <w:rPr>
                <w:rFonts w:eastAsia="Calibri"/>
                <w:szCs w:val="24"/>
              </w:rPr>
              <w:t xml:space="preserve">circular </w:t>
            </w:r>
            <w:r>
              <w:rPr>
                <w:rFonts w:eastAsia="Calibri"/>
                <w:szCs w:val="24"/>
              </w:rPr>
              <w:t xml:space="preserve">economy</w:t>
            </w:r>
            <w:r w:rsidRPr="00B765F3">
              <w:rPr>
                <w:rFonts w:eastAsia="Calibri"/>
                <w:szCs w:val="24"/>
              </w:rPr>
              <w:t xml:space="preserve">, including waste prevention and recycling</w:t>
            </w:r>
          </w:p>
        </w:tc>
        <w:tc>
          <w:tcPr>
            <w:tcW w:w="7229" w:type="dxa"/>
          </w:tcPr>
          <w:p w:rsidRPr="00B765F3" w:rsidR="00E27C1B" w:rsidP="00320405" w:rsidRDefault="00E27C1B" w14:paraId="011B5BF4" w14:textId="77777777">
            <w:pPr>
              <w:ind w:start="51"/>
              <w:jc w:val="both"/>
              <w:rPr>
                <w:rFonts w:eastAsia="Calibri"/>
                <w:bCs/>
                <w:szCs w:val="24"/>
              </w:rPr>
            </w:pPr>
            <w:r w:rsidRPr="001123C2">
              <w:rPr>
                <w:rFonts w:eastAsia="Calibri"/>
                <w:bCs/>
                <w:szCs w:val="24"/>
              </w:rPr>
              <w:t xml:space="preserve">The </w:t>
            </w:r>
            <w:r>
              <w:rPr>
                <w:rFonts w:eastAsia="Calibri"/>
                <w:bCs/>
                <w:szCs w:val="24"/>
              </w:rPr>
              <w:t xml:space="preserve">planned </w:t>
            </w:r>
            <w:r>
              <w:rPr>
                <w:rFonts w:eastAsia="Calibri"/>
                <w:bCs/>
                <w:szCs w:val="24"/>
              </w:rPr>
              <w:t xml:space="preserve">project activities </w:t>
            </w:r>
            <w:r w:rsidRPr="001123C2">
              <w:rPr>
                <w:rFonts w:eastAsia="Calibri"/>
                <w:bCs/>
                <w:szCs w:val="24"/>
              </w:rPr>
              <w:t xml:space="preserve">are assessed to </w:t>
            </w:r>
            <w:r w:rsidRPr="001123C2">
              <w:rPr>
                <w:rFonts w:eastAsia="Calibri"/>
                <w:bCs/>
                <w:szCs w:val="24"/>
              </w:rPr>
              <w:t xml:space="preserve">have no </w:t>
            </w:r>
            <w:r w:rsidRPr="007635F0">
              <w:rPr>
                <w:rFonts w:eastAsia="Calibri"/>
                <w:bCs/>
                <w:szCs w:val="24"/>
              </w:rPr>
              <w:t xml:space="preserve">negative direct or indirect impact on the objective of the circular economy, including waste prevention and recycling, and the planned equipment to be purchased will have to comply with EU-wide standards and be disposed of in accordance with all necessary requirements.</w:t>
            </w:r>
          </w:p>
        </w:tc>
        <w:tc>
          <w:tcPr>
            <w:tcW w:w="4224" w:type="dxa"/>
          </w:tcPr>
          <w:p w:rsidRPr="00D6312F" w:rsidR="00E27C1B" w:rsidP="00320405" w:rsidRDefault="00E27C1B" w14:paraId="11A358D0" w14:textId="77777777">
            <w:pPr>
              <w:jc w:val="both"/>
              <w:rPr>
                <w:rFonts w:eastAsia="Calibri"/>
                <w:bCs/>
                <w:szCs w:val="24"/>
              </w:rPr>
            </w:pPr>
            <w:r w:rsidRPr="00AD349C">
              <w:rPr>
                <w:rFonts w:eastAsia="Calibri"/>
                <w:bCs/>
                <w:szCs w:val="24"/>
              </w:rPr>
              <w:t xml:space="preserve">In </w:t>
            </w:r>
            <w:r>
              <w:rPr>
                <w:rFonts w:eastAsia="Calibri"/>
                <w:bCs/>
                <w:szCs w:val="24"/>
              </w:rPr>
              <w:t xml:space="preserve">accordance</w:t>
            </w:r>
            <w:r w:rsidRPr="00AD349C">
              <w:rPr>
                <w:rFonts w:eastAsia="Calibri"/>
                <w:bCs/>
                <w:szCs w:val="24"/>
              </w:rPr>
              <w:t xml:space="preserve"> with the </w:t>
            </w:r>
            <w:r w:rsidRPr="00F60246">
              <w:rPr>
                <w:rFonts w:eastAsia="Calibri"/>
                <w:bCs/>
                <w:szCs w:val="24"/>
              </w:rPr>
              <w:t xml:space="preserve">requirements set out in </w:t>
            </w:r>
            <w:r w:rsidRPr="00F60246">
              <w:rPr>
                <w:rFonts w:eastAsia="Calibri"/>
                <w:bCs/>
                <w:szCs w:val="24"/>
              </w:rPr>
              <w:t xml:space="preserve">the relevant </w:t>
            </w:r>
            <w:r>
              <w:rPr>
                <w:rFonts w:eastAsia="Calibri"/>
                <w:bCs/>
                <w:szCs w:val="24"/>
              </w:rPr>
              <w:t xml:space="preserve">chapters </w:t>
            </w:r>
            <w:r w:rsidRPr="00F60246">
              <w:rPr>
                <w:rFonts w:eastAsia="Calibri"/>
                <w:bCs/>
                <w:szCs w:val="24"/>
              </w:rPr>
              <w:t xml:space="preserve">of Annexes </w:t>
            </w:r>
            <w:r w:rsidRPr="00AD349C">
              <w:rPr>
                <w:rFonts w:eastAsia="Calibri"/>
                <w:bCs/>
                <w:szCs w:val="24"/>
              </w:rPr>
              <w:t xml:space="preserve">I </w:t>
            </w:r>
            <w:r>
              <w:rPr>
                <w:rFonts w:eastAsia="Calibri"/>
                <w:bCs/>
                <w:szCs w:val="24"/>
              </w:rPr>
              <w:t xml:space="preserve">and </w:t>
            </w:r>
            <w:r w:rsidRPr="00AD349C">
              <w:rPr>
                <w:rFonts w:eastAsia="Calibri"/>
                <w:bCs/>
                <w:szCs w:val="24"/>
              </w:rPr>
              <w:t xml:space="preserve">II </w:t>
            </w:r>
            <w:r w:rsidRPr="00F60246">
              <w:rPr>
                <w:rFonts w:eastAsia="Calibri"/>
                <w:bCs/>
                <w:szCs w:val="24"/>
              </w:rPr>
              <w:t xml:space="preserve">to </w:t>
            </w:r>
            <w:r>
              <w:rPr>
                <w:rFonts w:eastAsia="Calibri"/>
                <w:bCs/>
                <w:szCs w:val="24"/>
              </w:rPr>
              <w:t xml:space="preserve">Delegated </w:t>
            </w:r>
            <w:r w:rsidRPr="00AD349C">
              <w:rPr>
                <w:rFonts w:eastAsia="Calibri"/>
                <w:bCs/>
                <w:szCs w:val="24"/>
              </w:rPr>
              <w:t xml:space="preserve">Regulation (EU) 2021/2139 </w:t>
            </w:r>
            <w:r w:rsidRPr="00F60246">
              <w:rPr>
                <w:rFonts w:eastAsia="Calibri"/>
                <w:bCs/>
                <w:szCs w:val="24"/>
              </w:rPr>
              <w:t xml:space="preserve">for the activities concerned </w:t>
            </w:r>
            <w:r w:rsidRPr="00F60246">
              <w:rPr>
                <w:rFonts w:eastAsia="Calibri"/>
                <w:bCs/>
                <w:szCs w:val="24"/>
              </w:rPr>
              <w:t xml:space="preserve">(e.g. for the acquisition of IT equipment, the </w:t>
            </w:r>
            <w:r w:rsidRPr="00F60246">
              <w:rPr>
                <w:rFonts w:eastAsia="Calibri"/>
                <w:bCs/>
                <w:szCs w:val="24"/>
              </w:rPr>
              <w:t xml:space="preserve">technical analysis criteria set out in </w:t>
            </w:r>
            <w:r>
              <w:rPr>
                <w:rFonts w:eastAsia="Calibri"/>
                <w:bCs/>
                <w:szCs w:val="24"/>
              </w:rPr>
              <w:t xml:space="preserve">the relevant sections of Chapter </w:t>
            </w:r>
            <w:r w:rsidRPr="00F60246">
              <w:rPr>
                <w:rFonts w:eastAsia="Calibri"/>
                <w:bCs/>
                <w:szCs w:val="24"/>
              </w:rPr>
              <w:t xml:space="preserve">8 </w:t>
            </w:r>
            <w:r>
              <w:rPr>
                <w:rFonts w:eastAsia="Calibri"/>
                <w:bCs/>
                <w:szCs w:val="24"/>
              </w:rPr>
              <w:t xml:space="preserve">of </w:t>
            </w:r>
            <w:r w:rsidRPr="00F60246">
              <w:rPr>
                <w:rFonts w:eastAsia="Calibri"/>
                <w:bCs/>
                <w:szCs w:val="24"/>
              </w:rPr>
              <w:t xml:space="preserve">Annex I </w:t>
            </w:r>
            <w:r w:rsidRPr="00F60246">
              <w:rPr>
                <w:rFonts w:eastAsia="Calibri"/>
                <w:bCs/>
                <w:szCs w:val="24"/>
              </w:rPr>
              <w:t xml:space="preserve">and </w:t>
            </w:r>
            <w:r>
              <w:rPr>
                <w:rFonts w:eastAsia="Calibri"/>
                <w:bCs/>
                <w:szCs w:val="24"/>
              </w:rPr>
              <w:t xml:space="preserve">Chapter</w:t>
            </w:r>
            <w:r w:rsidRPr="00F60246">
              <w:rPr>
                <w:rFonts w:eastAsia="Calibri"/>
                <w:bCs/>
                <w:szCs w:val="24"/>
              </w:rPr>
              <w:t xml:space="preserve"> 8 of Annex </w:t>
            </w:r>
            <w:r w:rsidRPr="00F60246">
              <w:rPr>
                <w:rFonts w:eastAsia="Calibri"/>
                <w:bCs/>
                <w:szCs w:val="24"/>
              </w:rPr>
              <w:t xml:space="preserve">II to </w:t>
            </w:r>
            <w:r w:rsidRPr="00F60246">
              <w:rPr>
                <w:rFonts w:eastAsia="Calibri"/>
                <w:bCs/>
                <w:szCs w:val="24"/>
              </w:rPr>
              <w:t xml:space="preserve">Delegated Regulation (EU) 2021/2139, </w:t>
            </w:r>
            <w:r w:rsidRPr="00F60246">
              <w:rPr>
                <w:rFonts w:eastAsia="Calibri"/>
                <w:bCs/>
                <w:szCs w:val="24"/>
              </w:rPr>
              <w:t xml:space="preserve">etc.), by including these requirements in the relevant documents (e.g, </w:t>
            </w:r>
            <w:r w:rsidRPr="005D4667">
              <w:rPr>
                <w:rFonts w:eastAsia="Calibri"/>
                <w:bCs/>
                <w:szCs w:val="24"/>
              </w:rPr>
              <w:t xml:space="preserve">The applicant must provide documentation demonstrating that the IT equipment to be acquired complies with the above technical analysis criteria. This may include procurement documents, equipment descriptions, technical specifications and other documents.</w:t>
            </w:r>
          </w:p>
        </w:tc>
      </w:tr>
      <w:tr w:rsidRPr="00B765F3" w:rsidR="00E27C1B" w:rsidTr="00320405" w14:paraId="2EBF18BD" w14:textId="77777777">
        <w:tc>
          <w:tcPr>
            <w:tcW w:w="3545" w:type="dxa"/>
          </w:tcPr>
          <w:p w:rsidRPr="00B765F3" w:rsidR="00E27C1B" w:rsidP="00320405" w:rsidRDefault="00E27C1B" w14:paraId="19B770A0" w14:textId="77777777">
            <w:pPr>
              <w:tabs>
                <w:tab w:val="left" w:pos="289"/>
              </w:tabs>
              <w:ind w:firstLine="5"/>
              <w:jc w:val="both"/>
              <w:rPr>
                <w:rFonts w:eastAsia="Calibri"/>
                <w:szCs w:val="24"/>
              </w:rPr>
            </w:pPr>
            <w:r w:rsidRPr="00B765F3">
              <w:rPr>
                <w:rFonts w:eastAsia="Calibri"/>
                <w:szCs w:val="24"/>
              </w:rPr>
              <w:lastRenderedPageBreak/>
            </w:r>
            <w:r w:rsidRPr="00B765F3">
              <w:rPr>
                <w:rFonts w:eastAsia="Calibri"/>
                <w:szCs w:val="24"/>
              </w:rPr>
              <w:t xml:space="preserve">5.</w:t>
            </w:r>
            <w:r w:rsidRPr="00B765F3">
              <w:rPr>
                <w:rFonts w:eastAsia="Calibri"/>
                <w:szCs w:val="24"/>
              </w:rPr>
              <w:tab/>
            </w:r>
            <w:r w:rsidRPr="00B765F3">
              <w:rPr>
                <w:rFonts w:eastAsia="Calibri"/>
                <w:bCs/>
                <w:szCs w:val="24"/>
              </w:rPr>
              <w:t xml:space="preserve">Prevention and control of air, water or land pollution</w:t>
            </w:r>
          </w:p>
        </w:tc>
        <w:tc>
          <w:tcPr>
            <w:tcW w:w="7229" w:type="dxa"/>
          </w:tcPr>
          <w:p w:rsidRPr="00B765F3" w:rsidR="00E27C1B" w:rsidP="00320405" w:rsidRDefault="00E27C1B" w14:paraId="2D6856C9" w14:textId="77777777">
            <w:pPr>
              <w:jc w:val="both"/>
              <w:rPr>
                <w:rFonts w:eastAsia="Calibri"/>
                <w:b/>
                <w:szCs w:val="24"/>
              </w:rPr>
            </w:pPr>
            <w:r w:rsidRPr="000A6B5E">
              <w:rPr>
                <w:szCs w:val="24"/>
              </w:rPr>
              <w:t xml:space="preserve">The </w:t>
            </w:r>
            <w:r>
              <w:rPr>
                <w:szCs w:val="24"/>
              </w:rPr>
              <w:t xml:space="preserve">planned </w:t>
            </w:r>
            <w:r>
              <w:rPr>
                <w:szCs w:val="24"/>
              </w:rPr>
              <w:t xml:space="preserve">project activities </w:t>
            </w:r>
            <w:r w:rsidRPr="000A6B5E">
              <w:rPr>
                <w:szCs w:val="24"/>
              </w:rPr>
              <w:t xml:space="preserve">are assessed to </w:t>
            </w:r>
            <w:r w:rsidRPr="000A6B5E">
              <w:rPr>
                <w:szCs w:val="24"/>
              </w:rPr>
              <w:t xml:space="preserve">have no </w:t>
            </w:r>
            <w:r w:rsidRPr="00134CA5">
              <w:rPr>
                <w:szCs w:val="24"/>
              </w:rPr>
              <w:t xml:space="preserve">significant negative direct and indirect impacts on this environmental objective, and the planned acquisition of equipment will have to comply with generally applicable EU standards and be disposed of in accordance with any necessary requirements.</w:t>
            </w:r>
          </w:p>
        </w:tc>
        <w:tc>
          <w:tcPr>
            <w:tcW w:w="4224" w:type="dxa"/>
          </w:tcPr>
          <w:p w:rsidRPr="00B765F3" w:rsidR="00E27C1B" w:rsidP="00320405" w:rsidRDefault="00E27C1B" w14:paraId="16D61A63" w14:textId="77777777">
            <w:pPr>
              <w:jc w:val="both"/>
              <w:rPr>
                <w:rFonts w:eastAsia="Calibri"/>
                <w:szCs w:val="24"/>
              </w:rPr>
            </w:pPr>
            <w:r w:rsidRPr="00134CA5">
              <w:rPr>
                <w:rFonts w:eastAsia="Calibri"/>
                <w:szCs w:val="24"/>
              </w:rPr>
              <w:t xml:space="preserve">In accordance with the requirements set out in the relevant chapters of Annexes I and II to Delegated Regulation (EU) 2021/2139 for the activities concerned (e.g. for the acquisition of IT equipment, the </w:t>
            </w:r>
            <w:r w:rsidRPr="00134CA5">
              <w:rPr>
                <w:rFonts w:eastAsia="Calibri"/>
                <w:szCs w:val="24"/>
              </w:rPr>
              <w:t xml:space="preserve">technical analysis criteria set out in </w:t>
            </w:r>
            <w:r w:rsidRPr="00134CA5">
              <w:rPr>
                <w:rFonts w:eastAsia="Calibri"/>
                <w:szCs w:val="24"/>
              </w:rPr>
              <w:t xml:space="preserve">the relevant sections of Chapter </w:t>
            </w:r>
            <w:r w:rsidRPr="00134CA5">
              <w:rPr>
                <w:rFonts w:eastAsia="Calibri"/>
                <w:szCs w:val="24"/>
              </w:rPr>
              <w:t xml:space="preserve">8 </w:t>
            </w:r>
            <w:r w:rsidRPr="00134CA5">
              <w:rPr>
                <w:rFonts w:eastAsia="Calibri"/>
                <w:szCs w:val="24"/>
              </w:rPr>
              <w:t xml:space="preserve">of </w:t>
            </w:r>
            <w:r w:rsidRPr="00134CA5">
              <w:rPr>
                <w:rFonts w:eastAsia="Calibri"/>
                <w:szCs w:val="24"/>
              </w:rPr>
              <w:t xml:space="preserve">Annex I and </w:t>
            </w:r>
            <w:r w:rsidRPr="00134CA5">
              <w:rPr>
                <w:rFonts w:eastAsia="Calibri"/>
                <w:szCs w:val="24"/>
              </w:rPr>
              <w:t xml:space="preserve">Chapter 8 of Annex </w:t>
            </w:r>
            <w:r w:rsidRPr="00134CA5">
              <w:rPr>
                <w:rFonts w:eastAsia="Calibri"/>
                <w:szCs w:val="24"/>
              </w:rPr>
              <w:t xml:space="preserve">II to </w:t>
            </w:r>
            <w:r w:rsidRPr="00134CA5">
              <w:rPr>
                <w:rFonts w:eastAsia="Calibri"/>
                <w:szCs w:val="24"/>
              </w:rPr>
              <w:t xml:space="preserve">Delegated Regulation (EU) 2021/2139</w:t>
            </w:r>
            <w:r w:rsidRPr="00134CA5">
              <w:rPr>
                <w:rFonts w:eastAsia="Calibri"/>
                <w:szCs w:val="24"/>
              </w:rPr>
              <w:t xml:space="preserve">, etc.), by including these requirements in the relevant documents (e.g, The applicant must provide documentation demonstrating that the IT equipment to be acquired complies with the above technical analysis criteria. This may include procurement documents, equipment descriptions, technical specifications and other documents.</w:t>
            </w:r>
          </w:p>
        </w:tc>
      </w:tr>
      <w:tr w:rsidRPr="00B765F3" w:rsidR="00E27C1B" w:rsidTr="00320405" w14:paraId="7FB2FE3A" w14:textId="77777777">
        <w:tc>
          <w:tcPr>
            <w:tcW w:w="3545" w:type="dxa"/>
          </w:tcPr>
          <w:p w:rsidRPr="00B765F3" w:rsidR="00E27C1B" w:rsidP="00320405" w:rsidRDefault="00E27C1B" w14:paraId="7424DD27" w14:textId="77777777">
            <w:pPr>
              <w:tabs>
                <w:tab w:val="left" w:pos="289"/>
              </w:tabs>
              <w:ind w:start="5" w:firstLine="5"/>
              <w:jc w:val="both"/>
              <w:rPr>
                <w:rFonts w:eastAsia="Calibri"/>
                <w:szCs w:val="24"/>
              </w:rPr>
            </w:pPr>
            <w:r w:rsidRPr="00B765F3">
              <w:rPr>
                <w:rFonts w:eastAsia="Calibri"/>
                <w:szCs w:val="24"/>
              </w:rPr>
              <w:t xml:space="preserve">6.</w:t>
            </w:r>
            <w:r w:rsidRPr="00B765F3">
              <w:rPr>
                <w:rFonts w:eastAsia="Calibri"/>
                <w:szCs w:val="24"/>
              </w:rPr>
              <w:tab/>
            </w:r>
            <w:r w:rsidRPr="00B765F3">
              <w:rPr>
                <w:rFonts w:eastAsia="Calibri"/>
                <w:szCs w:val="24"/>
              </w:rPr>
              <w:t xml:space="preserve">Protecting and restoring biodiversity and ecosystems</w:t>
            </w:r>
          </w:p>
        </w:tc>
        <w:tc>
          <w:tcPr>
            <w:tcW w:w="7229" w:type="dxa"/>
          </w:tcPr>
          <w:p w:rsidRPr="00366C84" w:rsidR="00E27C1B" w:rsidP="00320405" w:rsidRDefault="00E27C1B" w14:paraId="454520D9" w14:textId="77777777">
            <w:pPr>
              <w:jc w:val="both"/>
              <w:rPr>
                <w:rFonts w:eastAsia="Calibri"/>
                <w:bCs/>
                <w:szCs w:val="24"/>
              </w:rPr>
            </w:pPr>
            <w:r w:rsidRPr="003E5841">
              <w:rPr>
                <w:rFonts w:eastAsia="Calibri"/>
                <w:bCs/>
                <w:szCs w:val="24"/>
              </w:rPr>
              <w:t xml:space="preserve">The </w:t>
            </w:r>
            <w:r>
              <w:rPr>
                <w:rFonts w:eastAsia="Calibri"/>
                <w:bCs/>
                <w:szCs w:val="24"/>
              </w:rPr>
              <w:t xml:space="preserve">planned </w:t>
            </w:r>
            <w:r>
              <w:rPr>
                <w:rFonts w:eastAsia="Calibri"/>
                <w:bCs/>
                <w:szCs w:val="24"/>
              </w:rPr>
              <w:t xml:space="preserve">project activities </w:t>
            </w:r>
            <w:r w:rsidRPr="003E5841">
              <w:rPr>
                <w:rFonts w:eastAsia="Calibri"/>
                <w:bCs/>
                <w:szCs w:val="24"/>
              </w:rPr>
              <w:t xml:space="preserve">are assessed </w:t>
            </w:r>
            <w:r w:rsidRPr="003E5841">
              <w:rPr>
                <w:rFonts w:eastAsia="Calibri"/>
                <w:bCs/>
                <w:szCs w:val="24"/>
              </w:rPr>
              <w:t xml:space="preserve">to have no </w:t>
            </w:r>
            <w:r w:rsidRPr="00EF000D">
              <w:rPr>
                <w:rFonts w:eastAsia="Calibri"/>
                <w:bCs/>
                <w:szCs w:val="24"/>
              </w:rPr>
              <w:t xml:space="preserve">negative direct and indirect impacts on this environmental objective, as no development or upgrading of infrastructure is foreseen in </w:t>
            </w:r>
            <w:r w:rsidRPr="00EF000D">
              <w:rPr>
                <w:rFonts w:eastAsia="Calibri"/>
                <w:bCs/>
                <w:szCs w:val="24"/>
              </w:rPr>
              <w:t xml:space="preserve">Natura </w:t>
            </w:r>
            <w:r w:rsidRPr="00EF000D">
              <w:rPr>
                <w:rFonts w:eastAsia="Calibri"/>
                <w:bCs/>
                <w:szCs w:val="24"/>
              </w:rPr>
              <w:t xml:space="preserve">2000</w:t>
            </w:r>
            <w:r w:rsidRPr="00EF000D">
              <w:rPr>
                <w:rFonts w:eastAsia="Calibri"/>
                <w:bCs/>
                <w:szCs w:val="24"/>
              </w:rPr>
              <w:t xml:space="preserve">, UNESCO World Heritage sites or other protected areas</w:t>
            </w:r>
            <w:r>
              <w:rPr>
                <w:rFonts w:eastAsia="Calibri"/>
                <w:bCs/>
                <w:szCs w:val="24"/>
              </w:rPr>
              <w:t xml:space="preserve">.</w:t>
            </w:r>
          </w:p>
        </w:tc>
        <w:tc>
          <w:tcPr>
            <w:tcW w:w="4224" w:type="dxa"/>
          </w:tcPr>
          <w:p w:rsidRPr="00B765F3" w:rsidR="00E27C1B" w:rsidP="00320405" w:rsidRDefault="00E27C1B" w14:paraId="0809EC18" w14:textId="77777777">
            <w:pPr>
              <w:jc w:val="both"/>
              <w:rPr>
                <w:rFonts w:eastAsia="Calibri"/>
                <w:szCs w:val="24"/>
              </w:rPr>
            </w:pPr>
            <w:r w:rsidRPr="00EF000D">
              <w:rPr>
                <w:rFonts w:eastAsia="Calibri"/>
                <w:szCs w:val="24"/>
              </w:rPr>
              <w:t xml:space="preserve">In accordance with the requirements set out in the relevant chapters of Annexes I and II of Delegated Regulation (EU) 2021/2139 for the activities concerned (e.g. for the acquisition of IT equipment, the </w:t>
            </w:r>
            <w:r w:rsidRPr="00EF000D">
              <w:rPr>
                <w:rFonts w:eastAsia="Calibri"/>
                <w:szCs w:val="24"/>
              </w:rPr>
              <w:t xml:space="preserve">technical analysis criteria set out in </w:t>
            </w:r>
            <w:r w:rsidRPr="00EF000D">
              <w:rPr>
                <w:rFonts w:eastAsia="Calibri"/>
                <w:szCs w:val="24"/>
              </w:rPr>
              <w:t xml:space="preserve">the relevant sections of Chapter </w:t>
            </w:r>
            <w:r w:rsidRPr="00EF000D">
              <w:rPr>
                <w:rFonts w:eastAsia="Calibri"/>
                <w:szCs w:val="24"/>
              </w:rPr>
              <w:t xml:space="preserve">8 </w:t>
            </w:r>
            <w:r w:rsidRPr="00EF000D">
              <w:rPr>
                <w:rFonts w:eastAsia="Calibri"/>
                <w:szCs w:val="24"/>
              </w:rPr>
              <w:t xml:space="preserve">of </w:t>
            </w:r>
            <w:r w:rsidRPr="00EF000D">
              <w:rPr>
                <w:rFonts w:eastAsia="Calibri"/>
                <w:szCs w:val="24"/>
              </w:rPr>
              <w:t xml:space="preserve">Annex I and </w:t>
            </w:r>
            <w:r w:rsidRPr="00EF000D">
              <w:rPr>
                <w:rFonts w:eastAsia="Calibri"/>
                <w:szCs w:val="24"/>
              </w:rPr>
              <w:t xml:space="preserve">Chapter 8 of Annex </w:t>
            </w:r>
            <w:r w:rsidRPr="00EF000D">
              <w:rPr>
                <w:rFonts w:eastAsia="Calibri"/>
                <w:szCs w:val="24"/>
              </w:rPr>
              <w:t xml:space="preserve">II of </w:t>
            </w:r>
            <w:r w:rsidRPr="00EF000D">
              <w:rPr>
                <w:rFonts w:eastAsia="Calibri"/>
                <w:szCs w:val="24"/>
              </w:rPr>
              <w:t xml:space="preserve">Delegated Regulation (EU) 2021/2139, </w:t>
            </w:r>
            <w:r w:rsidRPr="00EF000D">
              <w:rPr>
                <w:rFonts w:eastAsia="Calibri"/>
                <w:szCs w:val="24"/>
              </w:rPr>
              <w:t xml:space="preserve">etc.), and in accordance with the requirements of the </w:t>
            </w:r>
            <w:r w:rsidRPr="00EF000D">
              <w:rPr>
                <w:rFonts w:eastAsia="Calibri"/>
                <w:szCs w:val="24"/>
              </w:rPr>
              <w:t xml:space="preserve">corresponding documents of</w:t>
            </w:r>
            <w:r w:rsidRPr="00EF000D">
              <w:rPr>
                <w:rFonts w:eastAsia="Calibri"/>
                <w:szCs w:val="24"/>
              </w:rPr>
              <w:lastRenderedPageBreak/>
            </w:r>
            <w:r w:rsidRPr="00EF000D">
              <w:rPr>
                <w:rFonts w:eastAsia="Calibri"/>
                <w:szCs w:val="24"/>
              </w:rPr>
              <w:t xml:space="preserve"> (e.g, The applicant must provide documentation demonstrating that the IT equipment to be acquired complies with the above technical analysis criteria. This may include procurement documents, equipment descriptions, technical specifications and other documents.</w:t>
            </w:r>
          </w:p>
        </w:tc>
      </w:tr>
    </w:tbl>
    <w:p w:rsidR="00E27C1B" w:rsidP="00E27C1B" w:rsidRDefault="00E27C1B" w14:paraId="10CFE90A" w14:textId="77777777">
      <w:pPr>
        <w:rPr>
          <w:rFonts w:eastAsia="Calibri"/>
          <w:szCs w:val="24"/>
        </w:rPr>
      </w:pPr>
    </w:p>
    <w:p w:rsidR="00E27C1B" w:rsidP="00E27C1B" w:rsidRDefault="00E27C1B" w14:paraId="132BE2C0" w14:textId="77777777">
      <w:pPr>
        <w:tabs>
          <w:tab w:val="left" w:pos="2592"/>
        </w:tabs>
        <w:jc w:val="center"/>
        <w:rPr>
          <w:rFonts w:eastAsia="Calibri"/>
          <w:szCs w:val="24"/>
        </w:rPr>
      </w:pPr>
      <w:r>
        <w:rPr>
          <w:rFonts w:eastAsia="Calibri"/>
          <w:szCs w:val="24"/>
        </w:rPr>
        <w:t xml:space="preserve">_________________________</w:t>
      </w:r>
    </w:p>
    <w:p w:rsidR="00785EB1" w:rsidRDefault="00785EB1" w14:paraId="772A3187" w14:textId="77777777"/>
    <w:sectPr w:rsidR="00785EB1" w:rsidSect="00E27C1B">
      <w:pgSz w:w="16838" w:h="11906" w:orient="landscape"/>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1B"/>
    <w:rsid w:val="00785EB1"/>
    <w:rsid w:val="007B687E"/>
    <w:rsid w:val="008204A4"/>
    <w:rsid w:val="00E27C1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7BD5"/>
  <w15:chartTrackingRefBased/>
  <w15:docId w15:val="{825CDABB-6E40-468E-9FC4-573A79D2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27C1B"/>
    <w:pPr>
      <w:spacing w:after="0" w:line="240" w:lineRule="auto"/>
    </w:pPr>
    <w:rPr>
      <w:rFonts w:ascii="Times New Roman" w:eastAsia="Times New Roman" w:hAnsi="Times New Roman" w:cs="Times New Roman"/>
      <w:kern w:val="0"/>
      <w:sz w:val="24"/>
      <w:szCs w:val="20"/>
      <w14:ligatures w14:val="none"/>
    </w:rPr>
  </w:style>
  <w:style w:type="paragraph" w:styleId="Antrat1">
    <w:name w:val="heading 1"/>
    <w:basedOn w:val="prastasis"/>
    <w:next w:val="prastasis"/>
    <w:link w:val="Antrat1Diagrama"/>
    <w:uiPriority w:val="9"/>
    <w:qFormat/>
    <w:rsid w:val="00E27C1B"/>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Antrat2">
    <w:name w:val="heading 2"/>
    <w:basedOn w:val="prastasis"/>
    <w:next w:val="prastasis"/>
    <w:link w:val="Antrat2Diagrama"/>
    <w:uiPriority w:val="9"/>
    <w:semiHidden/>
    <w:unhideWhenUsed/>
    <w:qFormat/>
    <w:rsid w:val="00E27C1B"/>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Antrat3">
    <w:name w:val="heading 3"/>
    <w:basedOn w:val="prastasis"/>
    <w:next w:val="prastasis"/>
    <w:link w:val="Antrat3Diagrama"/>
    <w:uiPriority w:val="9"/>
    <w:semiHidden/>
    <w:unhideWhenUsed/>
    <w:qFormat/>
    <w:rsid w:val="00E27C1B"/>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Antrat4">
    <w:name w:val="heading 4"/>
    <w:basedOn w:val="prastasis"/>
    <w:next w:val="prastasis"/>
    <w:link w:val="Antrat4Diagrama"/>
    <w:uiPriority w:val="9"/>
    <w:semiHidden/>
    <w:unhideWhenUsed/>
    <w:qFormat/>
    <w:rsid w:val="00E27C1B"/>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Antrat5">
    <w:name w:val="heading 5"/>
    <w:basedOn w:val="prastasis"/>
    <w:next w:val="prastasis"/>
    <w:link w:val="Antrat5Diagrama"/>
    <w:uiPriority w:val="9"/>
    <w:semiHidden/>
    <w:unhideWhenUsed/>
    <w:qFormat/>
    <w:rsid w:val="00E27C1B"/>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Antrat6">
    <w:name w:val="heading 6"/>
    <w:basedOn w:val="prastasis"/>
    <w:next w:val="prastasis"/>
    <w:link w:val="Antrat6Diagrama"/>
    <w:uiPriority w:val="9"/>
    <w:semiHidden/>
    <w:unhideWhenUsed/>
    <w:qFormat/>
    <w:rsid w:val="00E27C1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Antrat7">
    <w:name w:val="heading 7"/>
    <w:basedOn w:val="prastasis"/>
    <w:next w:val="prastasis"/>
    <w:link w:val="Antrat7Diagrama"/>
    <w:uiPriority w:val="9"/>
    <w:semiHidden/>
    <w:unhideWhenUsed/>
    <w:qFormat/>
    <w:rsid w:val="00E27C1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Antrat8">
    <w:name w:val="heading 8"/>
    <w:basedOn w:val="prastasis"/>
    <w:next w:val="prastasis"/>
    <w:link w:val="Antrat8Diagrama"/>
    <w:uiPriority w:val="9"/>
    <w:semiHidden/>
    <w:unhideWhenUsed/>
    <w:qFormat/>
    <w:rsid w:val="00E27C1B"/>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Antrat9">
    <w:name w:val="heading 9"/>
    <w:basedOn w:val="prastasis"/>
    <w:next w:val="prastasis"/>
    <w:link w:val="Antrat9Diagrama"/>
    <w:uiPriority w:val="9"/>
    <w:semiHidden/>
    <w:unhideWhenUsed/>
    <w:qFormat/>
    <w:rsid w:val="00E27C1B"/>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E27C1B"/>
    <w:rPr>
      <w:rFonts w:asciiTheme="majorHAnsi" w:eastAsiaTheme="majorEastAsia" w:hAnsiTheme="majorHAnsi" w:cstheme="majorBidi"/>
      <w:color w:val="2F5496" w:themeColor="accent1" w:themeShade="BF"/>
      <w:sz w:val="40"/>
      <w:szCs w:val="40"/>
    </w:rPr>
  </w:style>
  <w:style w:type="character" w:customStyle="1" w:styleId="Antrat2Diagrama">
    <w:name w:val="Antraštė 2 Diagrama"/>
    <w:basedOn w:val="Numatytasispastraiposriftas"/>
    <w:link w:val="Antrat2"/>
    <w:uiPriority w:val="9"/>
    <w:semiHidden/>
    <w:rsid w:val="00E27C1B"/>
    <w:rPr>
      <w:rFonts w:asciiTheme="majorHAnsi" w:eastAsiaTheme="majorEastAsia" w:hAnsiTheme="majorHAnsi" w:cstheme="majorBidi"/>
      <w:color w:val="2F5496" w:themeColor="accent1" w:themeShade="BF"/>
      <w:sz w:val="32"/>
      <w:szCs w:val="32"/>
    </w:rPr>
  </w:style>
  <w:style w:type="character" w:customStyle="1" w:styleId="Antrat3Diagrama">
    <w:name w:val="Antraštė 3 Diagrama"/>
    <w:basedOn w:val="Numatytasispastraiposriftas"/>
    <w:link w:val="Antrat3"/>
    <w:uiPriority w:val="9"/>
    <w:semiHidden/>
    <w:rsid w:val="00E27C1B"/>
    <w:rPr>
      <w:rFonts w:eastAsiaTheme="majorEastAsia" w:cstheme="majorBidi"/>
      <w:color w:val="2F5496" w:themeColor="accent1" w:themeShade="BF"/>
      <w:sz w:val="28"/>
      <w:szCs w:val="28"/>
    </w:rPr>
  </w:style>
  <w:style w:type="character" w:customStyle="1" w:styleId="Antrat4Diagrama">
    <w:name w:val="Antraštė 4 Diagrama"/>
    <w:basedOn w:val="Numatytasispastraiposriftas"/>
    <w:link w:val="Antrat4"/>
    <w:uiPriority w:val="9"/>
    <w:semiHidden/>
    <w:rsid w:val="00E27C1B"/>
    <w:rPr>
      <w:rFonts w:eastAsiaTheme="majorEastAsia" w:cstheme="majorBidi"/>
      <w:i/>
      <w:iCs/>
      <w:color w:val="2F5496" w:themeColor="accent1" w:themeShade="BF"/>
    </w:rPr>
  </w:style>
  <w:style w:type="character" w:customStyle="1" w:styleId="Antrat5Diagrama">
    <w:name w:val="Antraštė 5 Diagrama"/>
    <w:basedOn w:val="Numatytasispastraiposriftas"/>
    <w:link w:val="Antrat5"/>
    <w:uiPriority w:val="9"/>
    <w:semiHidden/>
    <w:rsid w:val="00E27C1B"/>
    <w:rPr>
      <w:rFonts w:eastAsiaTheme="majorEastAsia" w:cstheme="majorBidi"/>
      <w:color w:val="2F5496" w:themeColor="accent1" w:themeShade="BF"/>
    </w:rPr>
  </w:style>
  <w:style w:type="character" w:customStyle="1" w:styleId="Antrat6Diagrama">
    <w:name w:val="Antraštė 6 Diagrama"/>
    <w:basedOn w:val="Numatytasispastraiposriftas"/>
    <w:link w:val="Antrat6"/>
    <w:uiPriority w:val="9"/>
    <w:semiHidden/>
    <w:rsid w:val="00E27C1B"/>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E27C1B"/>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E27C1B"/>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E27C1B"/>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E27C1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PavadinimasDiagrama">
    <w:name w:val="Pavadinimas Diagrama"/>
    <w:basedOn w:val="Numatytasispastraiposriftas"/>
    <w:link w:val="Pavadinimas"/>
    <w:uiPriority w:val="10"/>
    <w:rsid w:val="00E27C1B"/>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E27C1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aantratDiagrama">
    <w:name w:val="Paantraštė Diagrama"/>
    <w:basedOn w:val="Numatytasispastraiposriftas"/>
    <w:link w:val="Paantrat"/>
    <w:uiPriority w:val="11"/>
    <w:rsid w:val="00E27C1B"/>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E27C1B"/>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taDiagrama">
    <w:name w:val="Citata Diagrama"/>
    <w:basedOn w:val="Numatytasispastraiposriftas"/>
    <w:link w:val="Citata"/>
    <w:uiPriority w:val="29"/>
    <w:rsid w:val="00E27C1B"/>
    <w:rPr>
      <w:i/>
      <w:iCs/>
      <w:color w:val="404040" w:themeColor="text1" w:themeTint="BF"/>
    </w:rPr>
  </w:style>
  <w:style w:type="paragraph" w:styleId="Sraopastraipa">
    <w:name w:val="List Paragraph"/>
    <w:basedOn w:val="prastasis"/>
    <w:uiPriority w:val="34"/>
    <w:qFormat/>
    <w:rsid w:val="00E27C1B"/>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Rykuspabraukimas">
    <w:name w:val="Intense Emphasis"/>
    <w:basedOn w:val="Numatytasispastraiposriftas"/>
    <w:uiPriority w:val="21"/>
    <w:qFormat/>
    <w:rsid w:val="00E27C1B"/>
    <w:rPr>
      <w:i/>
      <w:iCs/>
      <w:color w:val="2F5496" w:themeColor="accent1" w:themeShade="BF"/>
    </w:rPr>
  </w:style>
  <w:style w:type="paragraph" w:styleId="Iskirtacitata">
    <w:name w:val="Intense Quote"/>
    <w:basedOn w:val="prastasis"/>
    <w:next w:val="prastasis"/>
    <w:link w:val="IskirtacitataDiagrama"/>
    <w:uiPriority w:val="30"/>
    <w:qFormat/>
    <w:rsid w:val="00E27C1B"/>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14:ligatures w14:val="standardContextual"/>
    </w:rPr>
  </w:style>
  <w:style w:type="character" w:customStyle="1" w:styleId="IskirtacitataDiagrama">
    <w:name w:val="Išskirta citata Diagrama"/>
    <w:basedOn w:val="Numatytasispastraiposriftas"/>
    <w:link w:val="Iskirtacitata"/>
    <w:uiPriority w:val="30"/>
    <w:rsid w:val="00E27C1B"/>
    <w:rPr>
      <w:i/>
      <w:iCs/>
      <w:color w:val="2F5496" w:themeColor="accent1" w:themeShade="BF"/>
    </w:rPr>
  </w:style>
  <w:style w:type="character" w:styleId="Rykinuoroda">
    <w:name w:val="Intense Reference"/>
    <w:basedOn w:val="Numatytasispastraiposriftas"/>
    <w:uiPriority w:val="32"/>
    <w:qFormat/>
    <w:rsid w:val="00E27C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7" ma:contentTypeDescription="Create a new document." ma:contentTypeScope="" ma:versionID="4caf71c67ad417ac849332d04b6e60eb">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773c63055850dbc201ae2954076de4c5"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Props1.xml><?xml version="1.0" encoding="utf-8"?>
<ds:datastoreItem xmlns:ds="http://schemas.openxmlformats.org/officeDocument/2006/customXml" ds:itemID="{58E796B5-D5C0-4061-B990-7F1FF913418B}"/>
</file>

<file path=customXml/itemProps2.xml><?xml version="1.0" encoding="utf-8"?>
<ds:datastoreItem xmlns:ds="http://schemas.openxmlformats.org/officeDocument/2006/customXml" ds:itemID="{E8F1A2BE-2E73-49F9-B290-784342448096}"/>
</file>

<file path=customXml/itemProps3.xml><?xml version="1.0" encoding="utf-8"?>
<ds:datastoreItem xmlns:ds="http://schemas.openxmlformats.org/officeDocument/2006/customXml" ds:itemID="{DB7E3597-93D4-40E0-AED1-4991CF3523DD}"/>
</file>

<file path=docProps/app.xml><?xml version="1.0" encoding="utf-8"?>
<Properties xmlns="http://schemas.openxmlformats.org/officeDocument/2006/extended-properties" xmlns:vt="http://schemas.openxmlformats.org/officeDocument/2006/docPropsVTypes">
  <Template>Normal</Template>
  <TotalTime>2</TotalTime>
  <Pages>6</Pages>
  <Words>6029</Words>
  <Characters>3438</Characters>
  <Application>Microsoft Office Word</Application>
  <DocSecurity>0</DocSecurity>
  <Lines>28</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Egidijus Braciška</dc:creator>
  <keywords>, docId:B8D71580B26764DC737287BC209D8F95</keywords>
  <dc:description/>
  <lastModifiedBy>Egidijus Braciška</lastModifiedBy>
  <revision>1</revision>
  <dcterms:created xsi:type="dcterms:W3CDTF">2024-08-06T13:23:00.0000000Z</dcterms:created>
  <dcterms:modified xsi:type="dcterms:W3CDTF">2024-08-06T13:25:00.0000000Z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ies>
</file>