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EC1AA" w14:textId="4E6027C6" w:rsidR="00E431E8" w:rsidRPr="003B37BA" w:rsidRDefault="003B37BA" w:rsidP="003B37BA">
      <w:r w:rsidRPr="003B37BA">
        <w:t xml:space="preserve">Company Information: - Company Name: </w:t>
      </w:r>
      <w:proofErr w:type="spellStart"/>
      <w:r w:rsidRPr="003B37BA">
        <w:t>DigitalInnovate</w:t>
      </w:r>
      <w:proofErr w:type="spellEnd"/>
      <w:r w:rsidRPr="003B37BA">
        <w:t xml:space="preserve"> Solutions UAB - Registration Number: LT100001234 - Address: </w:t>
      </w:r>
      <w:proofErr w:type="spellStart"/>
      <w:r w:rsidRPr="003B37BA">
        <w:t>Gedimino</w:t>
      </w:r>
      <w:proofErr w:type="spellEnd"/>
      <w:r w:rsidRPr="003B37BA">
        <w:t xml:space="preserve"> Avenue 45, Vilnius, Lithuania LT-01109 - Country: Lithuania - VAT Number: LT100001234O8 - Industry: Information Technology and Software Development Financial Information (Last Financial Year 2023): - Number of Employees: 85 (annual work units) - Annual Turnover: €12,500,000 - Annual Balance Sheet Total: €8,900,000 - Main Business Activities: AI software development, data analytics, cloud solutions Shareholder Structure: - Founders: 60% (Lithuanian residents) - Employee Stock Options: 15% - Venture Capital Fund: 25% - No single external entity owns more than 25% Management Information: - CEO: Tomas Petrauskas - CTO: Laura </w:t>
      </w:r>
      <w:proofErr w:type="spellStart"/>
      <w:r w:rsidRPr="003B37BA">
        <w:t>Kavaliauskaite</w:t>
      </w:r>
      <w:proofErr w:type="spellEnd"/>
      <w:r w:rsidRPr="003B37BA">
        <w:t xml:space="preserve"> - CFO: Mindaugas </w:t>
      </w:r>
      <w:proofErr w:type="spellStart"/>
      <w:r w:rsidRPr="003B37BA">
        <w:t>Ragauskas</w:t>
      </w:r>
      <w:proofErr w:type="spellEnd"/>
      <w:r w:rsidRPr="003B37BA">
        <w:t xml:space="preserve"> Declaration: We hereby declare that our company meets the criteria for Small and Medium Enterprise (SME) classification according to EU Recommendation 2003/361/EC. The company is classified as a Medium Enterprise based on employee count and financial indicators. R&amp;D Activities: - Annual R&amp;D expenditure: €1,200,000 (2023) - R&amp;D team: 25 employees - Active research projects: 5 - Patent applications: 3 (pending) Date: March 15, 2024 Authorized Signature: Tomas Petrauskas, CEO Company Seal: [Official Company Stamp]</w:t>
      </w:r>
    </w:p>
    <w:sectPr w:rsidR="00E431E8" w:rsidRPr="003B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92"/>
    <w:rsid w:val="0001280D"/>
    <w:rsid w:val="00383963"/>
    <w:rsid w:val="003B37BA"/>
    <w:rsid w:val="00423AEA"/>
    <w:rsid w:val="009D15C3"/>
    <w:rsid w:val="00C46E92"/>
    <w:rsid w:val="00E431E8"/>
    <w:rsid w:val="00F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E76D"/>
  <w15:chartTrackingRefBased/>
  <w15:docId w15:val="{AB91D6EB-AAD8-4052-8C8D-66B1096A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RELINQ</dc:creator>
  <cp:keywords/>
  <dc:description/>
  <cp:lastModifiedBy>RELINQ</cp:lastModifiedBy>
  <cp:revision>4</cp:revision>
  <dcterms:created xsi:type="dcterms:W3CDTF">2025-07-15T19:09:00Z</dcterms:created>
  <dcterms:modified xsi:type="dcterms:W3CDTF">2025-07-16T08:28:00Z</dcterms:modified>
</cp:coreProperties>
</file>