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6B" w:rsidRDefault="000E7499">
      <w:pPr>
        <w:jc w:val="center"/>
      </w:pPr>
      <w:r>
        <w:t>Report on Assignment-2</w:t>
      </w:r>
    </w:p>
    <w:p w:rsidR="00D0686B" w:rsidRDefault="000E7499">
      <w:pPr>
        <w:jc w:val="center"/>
      </w:pPr>
      <w:r>
        <w:t>Text Classifier</w:t>
      </w:r>
    </w:p>
    <w:p w:rsidR="00D0686B" w:rsidRDefault="000E7499">
      <w:pPr>
        <w:jc w:val="center"/>
      </w:pPr>
      <w:r>
        <w:t>1105021</w:t>
      </w:r>
      <w:bookmarkStart w:id="0" w:name="_GoBack"/>
      <w:bookmarkEnd w:id="0"/>
    </w:p>
    <w:p w:rsidR="00D0686B" w:rsidRDefault="000E7499">
      <w:pPr>
        <w:jc w:val="center"/>
      </w:pPr>
      <w:r>
        <w:t>1105025</w:t>
      </w:r>
    </w:p>
    <w:p w:rsidR="00D0686B" w:rsidRDefault="00D0686B"/>
    <w:p w:rsidR="00D0686B" w:rsidRDefault="00D0686B"/>
    <w:p w:rsidR="00D0686B" w:rsidRDefault="000E7499">
      <w:r>
        <w:t>T-test Result:</w:t>
      </w:r>
    </w:p>
    <w:tbl>
      <w:tblPr>
        <w:tblW w:w="0" w:type="auto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72"/>
        <w:gridCol w:w="2349"/>
        <w:gridCol w:w="2463"/>
        <w:gridCol w:w="2179"/>
      </w:tblGrid>
      <w:tr w:rsidR="00D0686B">
        <w:tc>
          <w:tcPr>
            <w:tcW w:w="2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Algorithm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Mean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Standard Deviation</w:t>
            </w:r>
          </w:p>
        </w:tc>
        <w:tc>
          <w:tcPr>
            <w:tcW w:w="2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4BC96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Total Runs</w:t>
            </w:r>
          </w:p>
        </w:tc>
      </w:tr>
      <w:tr w:rsidR="00D0686B">
        <w:tc>
          <w:tcPr>
            <w:tcW w:w="2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Naïve Bayes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73.4%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0.5385%</w:t>
            </w:r>
          </w:p>
        </w:tc>
        <w:tc>
          <w:tcPr>
            <w:tcW w:w="2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10</w:t>
            </w:r>
          </w:p>
        </w:tc>
      </w:tr>
      <w:tr w:rsidR="00D0686B">
        <w:tc>
          <w:tcPr>
            <w:tcW w:w="2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KNN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81.95%</w:t>
            </w:r>
          </w:p>
        </w:tc>
        <w:tc>
          <w:tcPr>
            <w:tcW w:w="2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1.2539%</w:t>
            </w:r>
          </w:p>
        </w:tc>
        <w:tc>
          <w:tcPr>
            <w:tcW w:w="2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0686B" w:rsidRDefault="000E7499">
            <w:pPr>
              <w:spacing w:after="0"/>
            </w:pPr>
            <w:r>
              <w:t>10</w:t>
            </w:r>
          </w:p>
        </w:tc>
      </w:tr>
    </w:tbl>
    <w:p w:rsidR="00D0686B" w:rsidRDefault="00D0686B"/>
    <w:p w:rsidR="00D0686B" w:rsidRDefault="000E7499">
      <w:r>
        <w:t xml:space="preserve">Let, </w:t>
      </w:r>
    </w:p>
    <w:p w:rsidR="00D0686B" w:rsidRDefault="000E74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Mean Accuracy of Naïve Bayes</w:t>
      </w:r>
    </w:p>
    <w:p w:rsidR="00D0686B" w:rsidRDefault="000E7499"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= Population average of accuracy of </w:t>
      </w:r>
      <w:r>
        <w:t>Naïve Bayes = 73.4</w:t>
      </w:r>
    </w:p>
    <w:p w:rsidR="00D0686B" w:rsidRDefault="000E7499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= Population Variance of Naïve Bayes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StandardDeviation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0.29</w:t>
      </w:r>
    </w:p>
    <w:p w:rsidR="00D0686B" w:rsidRDefault="000E74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=Number of runs of Naïve Bayes = 10</w:t>
      </w:r>
    </w:p>
    <w:p w:rsidR="00D0686B" w:rsidRDefault="00D0686B"/>
    <w:p w:rsidR="00D0686B" w:rsidRDefault="000E74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Mean Accuracy of KNN </w:t>
      </w:r>
    </w:p>
    <w:p w:rsidR="00D0686B" w:rsidRDefault="000E7499"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= Population average of accuracy of KNN = 81.95</w:t>
      </w:r>
    </w:p>
    <w:p w:rsidR="00D0686B" w:rsidRDefault="000E7499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= Population Variance of KNN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StandardDeviation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1.5723</w:t>
      </w:r>
    </w:p>
    <w:p w:rsidR="00D0686B" w:rsidRDefault="000E749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=Number of runs of KNN = 10</w:t>
      </w:r>
    </w:p>
    <w:p w:rsidR="00D0686B" w:rsidRDefault="00D0686B"/>
    <w:p w:rsidR="00D0686B" w:rsidRDefault="000E7499">
      <w:r>
        <w:t xml:space="preserve">Let, 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&gt;=0</w:t>
      </w:r>
    </w:p>
    <w:p w:rsidR="00D0686B" w:rsidRDefault="000E7499">
      <w:r>
        <w:t xml:space="preserve">And the Alternative Hypothesis: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&lt;0</w:t>
      </w:r>
    </w:p>
    <w:p w:rsidR="00D0686B" w:rsidRDefault="000E7499">
      <w:r>
        <w:t xml:space="preserve">Now, </w:t>
      </w:r>
    </w:p>
    <w:p w:rsidR="00D0686B" w:rsidRDefault="000E7499">
      <m:oMathPara>
        <m:oMath>
          <m:r>
            <w:rPr>
              <w:rFonts w:ascii="Cambria Math" w:hAnsi="Cambria Math"/>
            </w:rPr>
            <w:lastRenderedPageBreak/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D0686B" w:rsidRDefault="000E7499">
      <w:r>
        <w:t xml:space="preserve">Putting the corresponding </w:t>
      </w:r>
      <w:r>
        <w:t>values , t = -19.8126</w:t>
      </w:r>
    </w:p>
    <w:p w:rsidR="00D0686B" w:rsidRDefault="000E7499">
      <w:r>
        <w:t xml:space="preserve">Now, degree of freedom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den>
            </m:f>
          </m:den>
        </m:f>
      </m:oMath>
    </w:p>
    <w:p w:rsidR="00D0686B" w:rsidRDefault="000E7499">
      <w:r>
        <w:t>Putting the corresponding values, d.o.f = 12</w:t>
      </w:r>
    </w:p>
    <w:p w:rsidR="00D0686B" w:rsidRDefault="00D0686B"/>
    <w:p w:rsidR="00D0686B" w:rsidRDefault="000E7499">
      <w:pPr>
        <w:rPr>
          <w:rFonts w:ascii="CMR10" w:hAnsi="CMR10" w:cs="CMR10"/>
          <w:sz w:val="20"/>
          <w:szCs w:val="20"/>
        </w:rPr>
      </w:pPr>
      <w:r>
        <w:t xml:space="preserve">Now, the chart with </w:t>
      </w:r>
      <w:r>
        <w:rPr>
          <w:rFonts w:ascii="CMR10" w:hAnsi="CMR10" w:cs="CMR10"/>
          <w:sz w:val="20"/>
          <w:szCs w:val="20"/>
        </w:rPr>
        <w:t>t-statistic at significance levels of 0.005, 0.01 and 0.05 is given below: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97"/>
        <w:gridCol w:w="1799"/>
        <w:gridCol w:w="3385"/>
        <w:gridCol w:w="2394"/>
      </w:tblGrid>
      <w:tr w:rsidR="00D0686B"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 xml:space="preserve">Level of significance, </w:t>
            </w:r>
            <w:r>
              <w:t>alpha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tvalue</m:t>
                  </m:r>
                </m:e>
              </m:d>
            </m:oMath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Critical Value , t(dof,1-alpha)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Comment</w:t>
            </w:r>
          </w:p>
        </w:tc>
      </w:tr>
      <w:tr w:rsidR="00D0686B"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0.005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19.8126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t(12,0.995) = 4.318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. KNN is better</w:t>
            </w:r>
          </w:p>
        </w:tc>
      </w:tr>
      <w:tr w:rsidR="00D0686B"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0.01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19.8126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t(12,0.99) = 2.681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. KNN is better</w:t>
            </w:r>
          </w:p>
        </w:tc>
      </w:tr>
      <w:tr w:rsidR="00D0686B"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0.05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19.8126</w:t>
            </w:r>
          </w:p>
        </w:tc>
        <w:tc>
          <w:tcPr>
            <w:tcW w:w="3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>t(12,0.95) = 1.782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108" w:type="dxa"/>
            </w:tcMar>
          </w:tcPr>
          <w:p w:rsidR="00D0686B" w:rsidRDefault="000E7499">
            <w:pPr>
              <w:spacing w:after="0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. KNN is better</w:t>
            </w:r>
          </w:p>
        </w:tc>
      </w:tr>
    </w:tbl>
    <w:p w:rsidR="00D0686B" w:rsidRDefault="00D0686B"/>
    <w:p w:rsidR="00D0686B" w:rsidRDefault="00D0686B"/>
    <w:p w:rsidR="00D0686B" w:rsidRDefault="00D0686B"/>
    <w:p w:rsidR="00D0686B" w:rsidRDefault="00D0686B"/>
    <w:p w:rsidR="00D0686B" w:rsidRDefault="00D0686B"/>
    <w:p w:rsidR="00D0686B" w:rsidRDefault="000E7499">
      <w:r>
        <w:t xml:space="preserve">Question </w:t>
      </w:r>
      <w:r>
        <w:t>#2:</w:t>
      </w:r>
    </w:p>
    <w:p w:rsidR="00D0686B" w:rsidRDefault="000E7499">
      <w:r>
        <w:t>In the distance measuring of K-NN algorithm among 3 versions , cosine similarity gives better performance. Because the Hamiltonian and Euclidean way of measuring the distance gives the distance of two points in the vector space. Then we took the lowest</w:t>
      </w:r>
      <w:r>
        <w:t xml:space="preserve"> distance to predict in which class our target document Dt falls.</w:t>
      </w:r>
    </w:p>
    <w:p w:rsidR="00D0686B" w:rsidRDefault="000E7499">
      <w:r>
        <w:t>In the above case it does not depend whether the relative distance with respect to origin or a certain point is proportion to one another. That means one point in the space may have same pro</w:t>
      </w:r>
      <w:r>
        <w:t xml:space="preserve">portion of dimensional axis value to other but have the maximum distance in sense Euclidean or Hamiltonian . </w:t>
      </w:r>
    </w:p>
    <w:p w:rsidR="00D0686B" w:rsidRDefault="000E7499">
      <w:r>
        <w:t>But in case of cosine similarity the angular distances are measured. That's why the above mentioned problem does not arise. The point in the space</w:t>
      </w:r>
      <w:r>
        <w:t xml:space="preserve"> which have same ratio of axes value is selected as most probable result. </w:t>
      </w:r>
    </w:p>
    <w:p w:rsidR="00D0686B" w:rsidRDefault="00D0686B"/>
    <w:p w:rsidR="00D0686B" w:rsidRDefault="00D0686B"/>
    <w:p w:rsidR="00D0686B" w:rsidRDefault="000E7499">
      <w:r>
        <w:t>Question #3:</w:t>
      </w:r>
    </w:p>
    <w:p w:rsidR="00D0686B" w:rsidRDefault="000E7499">
      <w:r>
        <w:t>NB gives better performance than K-NN algorithm when we have more data to train.  Because K-NN calculates distances of the target document from known trained set of d</w:t>
      </w:r>
      <w:r>
        <w:t xml:space="preserve">ata. Again calculating probability gives efficient prediction than calculating distance if there is no conditional probability or co relation among words. </w:t>
      </w:r>
    </w:p>
    <w:p w:rsidR="00D0686B" w:rsidRDefault="000E7499">
      <w:r>
        <w:t xml:space="preserve">But for small data to train NB gives poorer result.  </w:t>
      </w:r>
    </w:p>
    <w:sectPr w:rsidR="00D0686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686B"/>
    <w:rsid w:val="000E7499"/>
    <w:rsid w:val="00D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B4B4"/>
  <w15:docId w15:val="{6F47AE99-0DB7-448B-AF52-FEC80915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05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40A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0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40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F3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Black_Knight</dc:creator>
  <cp:lastModifiedBy>Fahmid Morshed Fahid</cp:lastModifiedBy>
  <cp:revision>5</cp:revision>
  <dcterms:created xsi:type="dcterms:W3CDTF">2016-09-29T22:30:00Z</dcterms:created>
  <dcterms:modified xsi:type="dcterms:W3CDTF">2017-10-12T12:43:00Z</dcterms:modified>
  <dc:language>en-US</dc:language>
</cp:coreProperties>
</file>