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hd w:fill="1F3864" w:val="clear"/>
        <w:spacing w:after="0" w:before="200"/>
        <w:jc w:val="center"/>
      </w:pPr>
      <w:r>
        <w:rPr>
          <w:sz w:val="2"/>
          <w:szCs w:val="2"/>
        </w:rPr>
        <w:t xml:space="preserve"> </w:t>
      </w:r>
    </w:p>
    <w:p>
      <w:pPr>
        <w:spacing w:after="60" w:before="260"/>
        <w:jc w:val="center"/>
      </w:pPr>
      <w:r>
        <w:rPr>
          <w:b/>
          <w:bCs/>
          <w:color w:val="1F3864"/>
          <w:sz w:val="52"/>
          <w:szCs w:val="52"/>
        </w:rPr>
        <w:t xml:space="preserve">INDIAN BANKING SECTOR</w:t>
      </w:r>
    </w:p>
    <w:p>
      <w:pPr>
        <w:spacing w:after="40"/>
        <w:jc w:val="center"/>
      </w:pPr>
      <w:r>
        <w:rPr>
          <w:b/>
          <w:bCs/>
          <w:color w:val="0F7C82"/>
          <w:sz w:val="30"/>
          <w:szCs w:val="30"/>
        </w:rPr>
        <w:t xml:space="preserve">Data Analysis &amp; Business Intelligence Project</w:t>
      </w:r>
    </w:p>
    <w:p>
      <w:pPr>
        <w:spacing w:after="500"/>
        <w:jc w:val="center"/>
      </w:pPr>
      <w:r>
        <w:rPr>
          <w:b/>
          <w:bCs/>
          <w:i/>
          <w:iCs/>
          <w:color w:val="D9622B"/>
          <w:sz w:val="19"/>
          <w:szCs w:val="19"/>
        </w:rPr>
        <w:t xml:space="preserve">Data Cleaning  •  SQL Analysis  •  Power BI Dashboard  •  Audit &amp; Fixes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3167"/>
        <w:gridCol w:w="316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3F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10,000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Transactions</w:t>
            </w:r>
          </w:p>
        </w:tc>
        <w:tc>
          <w:tcPr>
            <w:tcBorders>
              <w:top w:val="single" w:color="0F7C82" w:sz="4"/>
              <w:left w:val="single" w:color="0F7C82" w:sz="4"/>
              <w:bottom w:val="single" w:color="0F7C82" w:sz="4"/>
              <w:right w:val="single" w:color="0F7C82" w:sz="4"/>
            </w:tcBorders>
            <w:shd w:fill="D9EEE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7C82"/>
                <w:sz w:val="30"/>
                <w:szCs w:val="30"/>
              </w:rPr>
              <w:t xml:space="preserve">3,287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Customers</w:t>
            </w:r>
          </w:p>
        </w:tc>
        <w:tc>
          <w:tcPr>
            <w:tcBorders>
              <w:top w:val="single" w:color="D9622B" w:sz="4"/>
              <w:left w:val="single" w:color="D9622B" w:sz="4"/>
              <w:bottom w:val="single" w:color="D9622B" w:sz="4"/>
              <w:right w:val="single" w:color="D9622B" w:sz="4"/>
            </w:tcBorders>
            <w:shd w:fill="FBE6D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622B"/>
                <w:sz w:val="30"/>
                <w:szCs w:val="30"/>
              </w:rPr>
              <w:t xml:space="preserve">10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Banks</w:t>
            </w:r>
          </w:p>
        </w:tc>
      </w:tr>
      <w:tr>
        <w:tc>
          <w:tcPr>
            <w:tcBorders>
              <w:top w:val="single" w:color="6A3FA0" w:sz="4"/>
              <w:left w:val="single" w:color="6A3FA0" w:sz="4"/>
              <w:bottom w:val="single" w:color="6A3FA0" w:sz="4"/>
              <w:right w:val="single" w:color="6A3FA0" w:sz="4"/>
            </w:tcBorders>
            <w:shd w:fill="E9DF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A3FA0"/>
                <w:sz w:val="30"/>
                <w:szCs w:val="30"/>
              </w:rPr>
              <w:t xml:space="preserve">₹1.23 Bn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Transaction Value</w:t>
            </w:r>
          </w:p>
        </w:tc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CEFE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30"/>
                <w:szCs w:val="30"/>
              </w:rPr>
              <w:t xml:space="preserve">₹8.76 Bn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Loan Portfolio</w:t>
            </w:r>
          </w:p>
        </w:tc>
        <w:tc>
          <w:tcPr>
            <w:tcBorders>
              <w:top w:val="single" w:color="C2185B" w:sz="4"/>
              <w:left w:val="single" w:color="C2185B" w:sz="4"/>
              <w:bottom w:val="single" w:color="C2185B" w:sz="4"/>
              <w:right w:val="single" w:color="C2185B" w:sz="4"/>
            </w:tcBorders>
            <w:shd w:fill="F7DCE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6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Regions Covered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b/>
          <w:bCs/>
          <w:color w:val="595959"/>
          <w:sz w:val="19"/>
          <w:szCs w:val="19"/>
        </w:rPr>
        <w:t xml:space="preserve">Portfolio Project  —  July 2026</w:t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1F3864" w:sz="24" w:space="8"/>
        </w:pBdr>
        <w:shd w:fill="DCE3F0" w:val="clear"/>
        <w:spacing w:after="180" w:before="380"/>
        <w:ind w:left="12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30" w:line="276"/>
      </w:pPr>
      <w:r>
        <w:rPr>
          <w:color w:val="222222"/>
          <w:sz w:val="21"/>
          <w:szCs w:val="21"/>
        </w:rPr>
        <w:t xml:space="preserve">This project takes a raw Indian banking dataset (10,000 transactions, 3,287 customers, 10 banks) through the full analytics pipeline — cleaning, SQL analysis from basic to advanced, and a 6-page interactive Power BI report with button navigation. This document also audits the finished project and documents the real issues found, with fixes.</w:t>
      </w:r>
    </w:p>
    <w:p>
      <w:pPr>
        <w:pStyle w:val="Heading2"/>
        <w:spacing w:after="120" w:before="220"/>
      </w:pPr>
      <w:r>
        <w:rPr>
          <w:b/>
          <w:bCs/>
          <w:color w:val="D9622B"/>
          <w:sz w:val="24"/>
          <w:szCs w:val="24"/>
        </w:rPr>
        <w:t xml:space="preserve">Tools Used</w:t>
      </w:r>
    </w:p>
    <w:p>
      <w:pPr>
        <w:spacing w:after="70" w:line="260"/>
        <w:ind w:left="260"/>
      </w:pPr>
      <w:r>
        <w:rPr>
          <w:b/>
          <w:bCs/>
          <w:color w:val="D9622B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MySQL — querying &amp; window functions</w:t>
      </w:r>
    </w:p>
    <w:p>
      <w:pPr>
        <w:spacing w:after="70" w:line="260"/>
        <w:ind w:left="260"/>
      </w:pPr>
      <w:r>
        <w:rPr>
          <w:b/>
          <w:bCs/>
          <w:color w:val="D9622B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Power BI — modeling &amp; dashboards</w:t>
      </w:r>
    </w:p>
    <w:p>
      <w:pPr>
        <w:spacing w:after="70" w:line="260"/>
        <w:ind w:left="260"/>
      </w:pPr>
      <w:r>
        <w:rPr>
          <w:b/>
          <w:bCs/>
          <w:color w:val="D9622B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Excel — pivot tables</w:t>
      </w:r>
    </w:p>
    <w:p>
      <w:pPr>
        <w:pStyle w:val="Heading1"/>
        <w:pBdr>
          <w:left w:val="single" w:color="0F7C82" w:sz="24" w:space="8"/>
        </w:pBdr>
        <w:shd w:fill="D9EEEF" w:val="clear"/>
        <w:spacing w:after="180" w:before="380"/>
        <w:ind w:left="120"/>
      </w:pPr>
      <w:r>
        <w:rPr>
          <w:b/>
          <w:bCs/>
          <w:color w:val="0F7C82"/>
          <w:sz w:val="30"/>
          <w:szCs w:val="30"/>
        </w:rPr>
        <w:t xml:space="preserve">2. Data Cleaning — Issues &amp; Fixes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4100"/>
      </w:tblGrid>
      <w:tr>
        <w:trPr>
          <w:tblHeader/>
        </w:trPr>
        <w:tc>
          <w:tcPr>
            <w:shd w:fill="0F7C8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fill="0F7C8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shd w:fill="0F7C8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shd w:fill="D9EE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Transaction_Amount stored as text; 288 rows use comma separators (‘20,480.87’) mixed with plain decimals — risks silent truncation if cast to a number without cleaning.</w:t>
            </w:r>
          </w:p>
        </w:tc>
        <w:tc>
          <w:tcPr>
            <w:shd w:fill="D9EE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Stripped commas, converted to numeric, and validated the corrected total (₹1.23bn) against the Power BI KPI card.</w:t>
            </w:r>
          </w:p>
        </w:tc>
      </w:tr>
      <w:tr>
        <w:tc>
          <w:tcPr>
            <w:shd w:fill="D98A2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Moderate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 Transaction_IDs are duplicated across two entirely unrelated transactions, breaking the unique-key assumption.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Re-sequenced duplicate IDs so DISTINCTCOUNT measures aren’t understated.</w:t>
            </w:r>
          </w:p>
        </w:tc>
      </w:tr>
      <w:tr>
        <w:tc>
          <w:tcPr>
            <w:shd w:fill="2E8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Minor</w:t>
            </w:r>
          </w:p>
        </w:tc>
        <w:tc>
          <w:tcPr>
            <w:shd w:fill="D9EE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Loan_Type is NULL for 65% of rows (customers with no loan) — renders as a blank in Power BI slicers.</w:t>
            </w:r>
          </w:p>
        </w:tc>
        <w:tc>
          <w:tcPr>
            <w:shd w:fill="D9EE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Replaced NULL with an explicit ‘No Loan’ category.</w:t>
            </w:r>
          </w:p>
        </w:tc>
      </w:tr>
      <w:tr>
        <w:tc>
          <w:tcPr>
            <w:shd w:fill="2E8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Minor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Transaction_Date stored as DD-MM-YYYY text — sorts incorrectly as-is.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Converted to a true DATE type via STR_TO_DATE().</w:t>
            </w:r>
          </w:p>
        </w:tc>
      </w:tr>
    </w:tbl>
    <w:p>
      <w:pPr>
        <w:pStyle w:val="Heading1"/>
        <w:pBdr>
          <w:left w:val="single" w:color="D9622B" w:sz="24" w:space="8"/>
        </w:pBdr>
        <w:shd w:fill="FBE6D9" w:val="clear"/>
        <w:spacing w:after="180" w:before="380"/>
        <w:ind w:left="120"/>
      </w:pPr>
      <w:r>
        <w:rPr>
          <w:b/>
          <w:bCs/>
          <w:color w:val="D9622B"/>
          <w:sz w:val="30"/>
          <w:szCs w:val="30"/>
        </w:rPr>
        <w:t xml:space="preserve">3. SQL Analysis — Issues &amp; Fixes</w:t>
      </w:r>
    </w:p>
    <w:p>
      <w:pPr>
        <w:spacing w:after="130" w:line="276"/>
      </w:pPr>
      <w:r>
        <w:rPr>
          <w:color w:val="444444"/>
          <w:sz w:val="21"/>
          <w:szCs w:val="21"/>
        </w:rPr>
        <w:t xml:space="preserve">The SQL ranges from basic filters to window functions (running totals, DENSE_RANK top-3 segmentation, regional bank leaderboards) — strong portfolio signal. A few logic bugs were found and fixed: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4100"/>
      </w:tblGrid>
      <w:tr>
        <w:trPr>
          <w:tblHeader/>
        </w:trPr>
        <w:tc>
          <w:tcPr>
            <w:shd w:fill="D962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fill="D962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shd w:fill="D962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shd w:fill="FBE6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Age-band query groups by raw Age instead of the CASE label — returns 59 rows (one per age) instead of 4 meaningful bands, so banding never actually aggregates.</w:t>
            </w:r>
          </w:p>
        </w:tc>
        <w:tc>
          <w:tcPr>
            <w:shd w:fill="FBE6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Rewrote with a subquery: compute the band first, then GROUP BY the band label.</w:t>
            </w:r>
          </w:p>
        </w:tc>
      </w:tr>
      <w:tr>
        <w:tc>
          <w:tcPr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Credit-score tiers use ≤250 / ≤500 / ≤1000, but real scores range 300–900 — ‘Low’ is mathematically unreachable.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Realigned to CIBIL-style bands: Poor &lt;650, Fair 650–699, Good 700–749, Excellent 750+.</w:t>
            </w:r>
          </w:p>
        </w:tc>
      </w:tr>
      <w:tr>
        <w:tc>
          <w:tcPr>
            <w:shd w:fill="2E8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Minor</w:t>
            </w:r>
          </w:p>
        </w:tc>
        <w:tc>
          <w:tcPr>
            <w:shd w:fill="FBE6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Label bug: 25–40 age band called ‘Men’ (gender term) and 60+ band has typo ‘senior_citizon’.</w:t>
            </w:r>
          </w:p>
        </w:tc>
        <w:tc>
          <w:tcPr>
            <w:shd w:fill="FBE6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Relabeled: Young Adult / Adult / Middle-aged / Senior Citizen.</w:t>
            </w:r>
          </w:p>
        </w:tc>
      </w:tr>
    </w:tbl>
    <w:p>
      <w:pPr>
        <w:pStyle w:val="Heading1"/>
        <w:pBdr>
          <w:left w:val="single" w:color="6A3FA0" w:sz="24" w:space="8"/>
        </w:pBdr>
        <w:shd w:fill="E9DFF2" w:val="clear"/>
        <w:spacing w:after="180" w:before="380"/>
        <w:ind w:left="120"/>
      </w:pPr>
      <w:r>
        <w:rPr>
          <w:b/>
          <w:bCs/>
          <w:color w:val="6A3FA0"/>
          <w:sz w:val="30"/>
          <w:szCs w:val="30"/>
        </w:rPr>
        <w:t xml:space="preserve">4. Power BI Dashboard</w:t>
      </w:r>
    </w:p>
    <w:p>
      <w:pPr>
        <w:spacing w:after="130" w:line="276"/>
      </w:pPr>
      <w:r>
        <w:rPr>
          <w:color w:val="444444"/>
          <w:sz w:val="21"/>
          <w:szCs w:val="21"/>
        </w:rPr>
        <w:t xml:space="preserve">6-page navigable report with a button-driven Home page.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Home — button navigation to all 6 sections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Executive Overview — city, bank &amp; yearly trend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Time Series — monthly loan &amp; transaction trends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Customer Analysis — occupation, gender, age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Transaction Analysis — bank, type &amp; regional waterfall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i/>
          <w:iCs/>
          <w:color w:val="6A3FA0"/>
          <w:sz w:val="17"/>
          <w:szCs w:val="17"/>
        </w:rPr>
        <w:t xml:space="preserve">Loan &amp; Credit Analysis — city funnel, bank/status, gender</w:t>
      </w:r>
    </w:p>
    <w:p>
      <w:pPr>
        <w:pStyle w:val="Heading1"/>
        <w:pBdr>
          <w:left w:val="single" w:color="1E8449" w:sz="24" w:space="8"/>
        </w:pBdr>
        <w:shd w:fill="DCEFE0" w:val="clear"/>
        <w:spacing w:after="180" w:before="380"/>
        <w:ind w:left="120"/>
      </w:pPr>
      <w:r>
        <w:rPr>
          <w:b/>
          <w:bCs/>
          <w:color w:val="1E8449"/>
          <w:sz w:val="30"/>
          <w:szCs w:val="30"/>
        </w:rPr>
        <w:t xml:space="preserve">5. Dashboard Issues — Found &amp; Fixed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4100"/>
      </w:tblGrid>
      <w:tr>
        <w:trPr>
          <w:tblHeader/>
        </w:trPr>
        <w:tc>
          <w:tcPr>
            <w:shd w:fill="C2185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fill="C2185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shd w:fill="C2185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shd w:fill="F7DC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KPI totals inconsistent: Time Series page shows 569 customers / ₹214.55M vs. 3,287 / ₹1.23bn everywhere else — a stray filter left applied.</w:t>
            </w:r>
          </w:p>
        </w:tc>
        <w:tc>
          <w:tcPr>
            <w:shd w:fill="F7DC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Cleared filters, reset to report-level totals, added a visible ‘Clear Filters’ button on each page.</w:t>
            </w:r>
          </w:p>
        </w:tc>
      </w:tr>
      <w:tr>
        <w:tc>
          <w:tcPr>
            <w:shd w:fill="D98A2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Moderate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‘Fraud &amp; Risk Analysis’ button on the Home page has no matching dashboard page — leads nowhere.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the missing page using Fraud_Flag (108 flagged, 1.08%): KPI cards, fraud by region/bank, drill-through table.</w:t>
            </w:r>
          </w:p>
        </w:tc>
      </w:tr>
      <w:tr>
        <w:tc>
          <w:tcPr>
            <w:shd w:fill="2E8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Minor</w:t>
            </w:r>
          </w:p>
        </w:tc>
        <w:tc>
          <w:tcPr>
            <w:shd w:fill="F7DC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 titles ambiguous — ‘Total Transaction’ (currency) vs. ‘Total Transaction IDs’ (count) are easy to confuse.</w:t>
            </w:r>
          </w:p>
        </w:tc>
        <w:tc>
          <w:tcPr>
            <w:shd w:fill="F7DC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Renamed to ‘Total Transaction Amount’ and ‘Total Transactions’.</w:t>
            </w:r>
          </w:p>
        </w:tc>
      </w:tr>
      <w:tr>
        <w:tc>
          <w:tcPr>
            <w:shd w:fill="2E8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Minor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Pie/donut charts used for 8–12 slice breakdowns (month, transaction type) are hard to compare.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Swapped to bar/column charts for &gt;6 categories; reserved donuts for ≤4 categories.</w:t>
            </w:r>
          </w:p>
        </w:tc>
      </w:tr>
    </w:tbl>
    <w:p>
      <w:pPr>
        <w:pStyle w:val="Heading1"/>
        <w:pBdr>
          <w:left w:val="single" w:color="C2185B" w:sz="24" w:space="8"/>
        </w:pBdr>
        <w:shd w:fill="F7DCE6" w:val="clear"/>
        <w:spacing w:after="180" w:before="380"/>
        <w:ind w:left="120"/>
      </w:pPr>
      <w:r>
        <w:rPr>
          <w:b/>
          <w:bCs/>
          <w:color w:val="C2185B"/>
          <w:sz w:val="30"/>
          <w:szCs w:val="30"/>
        </w:rPr>
        <w:t xml:space="preserve">6. Key Insights</w:t>
      </w:r>
    </w:p>
    <w:p>
      <w:pPr>
        <w:spacing w:after="70" w:line="260"/>
        <w:ind w:left="260"/>
      </w:pPr>
      <w:r>
        <w:rPr>
          <w:b/>
          <w:bCs/>
          <w:color w:val="1E8449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₹1.23bn total transaction value across 3,287 customers and 10 banks.</w:t>
      </w:r>
    </w:p>
    <w:p>
      <w:pPr>
        <w:spacing w:after="70" w:line="260"/>
        <w:ind w:left="260"/>
      </w:pPr>
      <w:r>
        <w:rPr>
          <w:b/>
          <w:bCs/>
          <w:color w:val="1E8449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Near-even gender split by transaction value (48.1% Male, 47.9% Female).</w:t>
      </w:r>
    </w:p>
    <w:p>
      <w:pPr>
        <w:spacing w:after="70" w:line="260"/>
        <w:ind w:left="260"/>
      </w:pPr>
      <w:r>
        <w:rPr>
          <w:b/>
          <w:bCs/>
          <w:color w:val="1E8449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July peaks as the highest transaction-value month in the sampled trend.</w:t>
      </w:r>
    </w:p>
    <w:p>
      <w:pPr>
        <w:spacing w:after="70" w:line="260"/>
        <w:ind w:left="260"/>
      </w:pPr>
      <w:r>
        <w:rPr>
          <w:b/>
          <w:bCs/>
          <w:color w:val="1E8449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Only 1.08% fraud rate — low, but enough to justify a dedicated monitoring page.</w:t>
      </w:r>
    </w:p>
    <w:p>
      <w:pPr>
        <w:pStyle w:val="Heading1"/>
        <w:pBdr>
          <w:left w:val="single" w:color="1F3864" w:sz="24" w:space="8"/>
        </w:pBdr>
        <w:shd w:fill="DCE3F0" w:val="clear"/>
        <w:spacing w:after="180" w:before="380"/>
        <w:ind w:left="120"/>
      </w:pPr>
      <w:r>
        <w:rPr>
          <w:b/>
          <w:bCs/>
          <w:color w:val="1F3864"/>
          <w:sz w:val="30"/>
          <w:szCs w:val="30"/>
        </w:rPr>
        <w:t xml:space="preserve">7. Future Scope</w:t>
      </w:r>
    </w:p>
    <w:p>
      <w:pPr>
        <w:spacing w:after="70" w:line="260"/>
        <w:ind w:left="260"/>
      </w:pPr>
      <w:r>
        <w:rPr>
          <w:b/>
          <w:bCs/>
          <w:color w:val="1F3864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Build the Fraud &amp; Risk Analysis page to complete the Home page navigation.</w:t>
      </w:r>
    </w:p>
    <w:p>
      <w:pPr>
        <w:spacing w:after="70" w:line="260"/>
        <w:ind w:left="260"/>
      </w:pPr>
      <w:r>
        <w:rPr>
          <w:b/>
          <w:bCs/>
          <w:color w:val="1F3864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Add DAX YoY / MoM growth measures now that dates are typed correctly.</w:t>
      </w:r>
    </w:p>
    <w:p>
      <w:pPr>
        <w:spacing w:after="70" w:line="260"/>
        <w:ind w:left="260"/>
      </w:pPr>
      <w:r>
        <w:rPr>
          <w:b/>
          <w:bCs/>
          <w:color w:val="1F3864"/>
          <w:sz w:val="21"/>
          <w:szCs w:val="21"/>
        </w:rPr>
        <w:t xml:space="preserve">▸ </w:t>
      </w:r>
      <w:r>
        <w:rPr>
          <w:color w:val="222222"/>
          <w:sz w:val="21"/>
          <w:szCs w:val="21"/>
        </w:rPr>
        <w:t xml:space="preserve">Extend the Excel pivot workbook into a documented appendix — wasn’t available for this review.</w:t>
      </w:r>
    </w:p>
    <w:p>
      <w:pPr>
        <w:pStyle w:val="Heading1"/>
        <w:pBdr>
          <w:left w:val="single" w:color="0F7C82" w:sz="24" w:space="8"/>
        </w:pBdr>
        <w:shd w:fill="D9EEEF" w:val="clear"/>
        <w:spacing w:after="180" w:before="380"/>
        <w:ind w:left="120"/>
      </w:pPr>
      <w:r>
        <w:rPr>
          <w:b/>
          <w:bCs/>
          <w:color w:val="0F7C82"/>
          <w:sz w:val="30"/>
          <w:szCs w:val="30"/>
        </w:rPr>
        <w:t xml:space="preserve">8. Conclusion</w:t>
      </w:r>
    </w:p>
    <w:p>
      <w:pPr>
        <w:spacing w:after="130" w:line="276"/>
      </w:pPr>
      <w:r>
        <w:rPr>
          <w:color w:val="222222"/>
          <w:sz w:val="21"/>
          <w:szCs w:val="21"/>
        </w:rPr>
        <w:t xml:space="preserve">This project demonstrates the full analyst workflow — cleaning, SQL from basic to advanced, and an interactive multi-page Power BI report — and the audit caught real, specific bugs (a comma-formatting risk, a broken SQL grouping, an unreachable credit tier, a stray filter) each paired with a concrete fix. That combination of build + audit is what makes this a strong portfolio piece.</w:t>
      </w:r>
    </w:p>
    <w:p>
      <w:pPr>
        <w:spacing w:after="130" w:line="276"/>
      </w:pPr>
      <w:r>
        <w:rPr>
          <w:i/>
          <w:iCs/>
          <w:color w:val="595959"/>
          <w:sz w:val="18"/>
          <w:szCs w:val="18"/>
        </w:rPr>
        <w:t xml:space="preserve">Review based on the CSV, SQL script, and 6 dashboard screenshots — the .pbix and Excel files didn’t upload; share them directly for a deeper DAX/pivot audit.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b/>
        <w:bCs/>
        <w:color w:val="1F38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b/>
        <w:bCs/>
        <w:color w:val="1F38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C82" w:sz="6" w:space="4"/>
      </w:pBdr>
      <w:jc w:val="right"/>
    </w:pPr>
    <w:r>
      <w:rPr>
        <w:b/>
        <w:bCs/>
        <w:i/>
        <w:iCs/>
        <w:color w:val="0F7C82"/>
        <w:sz w:val="15"/>
        <w:szCs w:val="15"/>
      </w:rPr>
      <w:t xml:space="preserve">Indian Banking Analysis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01a0ac38471c2e5edd474fb2ce62c34b3f8c18.png"/><Relationship Id="rId10" Type="http://schemas.openxmlformats.org/officeDocument/2006/relationships/image" Target="media/c381a02aca32636afc748794975566db3feddbb2.png"/><Relationship Id="rId11" Type="http://schemas.openxmlformats.org/officeDocument/2006/relationships/image" Target="media/f73415daa5961507abe3f6042bb664a49e7f77e1.png"/><Relationship Id="rId12" Type="http://schemas.openxmlformats.org/officeDocument/2006/relationships/image" Target="media/51a9afb4a78b682671ab143cee52575532df747a.png"/><Relationship Id="rId13" Type="http://schemas.openxmlformats.org/officeDocument/2006/relationships/image" Target="media/f157a1d3bb108a09af9dbb08811504b4b08d20e9.png"/><Relationship Id="rId14" Type="http://schemas.openxmlformats.org/officeDocument/2006/relationships/image" Target="media/b739d7badf68b389b57fdfffaf25c64ddd396d8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2026-07-23T18:49:28.050Z</dcterms:created>
  <dcterms:modified xsi:type="dcterms:W3CDTF">2026-07-23T18:49:28.062Z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