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FINCEPT AI Security Self-Assessment Report</w:t>
      </w:r>
    </w:p>
    <w:p>
      <w:r>
        <w:t>FinTechathon 2026 - International Track - Topic A - Personal Finance Assistant</w:t>
      </w:r>
    </w:p>
    <w:p>
      <w:r>
        <w:t>Repository: https://github.com/fahimabdullah45456/fincept-ai - Hosted demo: https://fincept-ai-final.onrender.com</w:t>
      </w:r>
    </w:p>
    <w:p>
      <w:r>
        <w:t>Assessment date: 20 October 2026</w:t>
      </w:r>
    </w:p>
    <w:p>
      <w:pPr>
        <w:pStyle w:val="Heading1"/>
      </w:pPr>
      <w:r>
        <w:t>1. Scope and assessment basis</w:t>
      </w:r>
    </w:p>
    <w:p>
      <w:r>
        <w:t>This report assesses the repository implementation of FINCEPT AI: a React 19, TypeScript and Vite frontend; a FastAPI backend; and SQLite persistence. The app supports individual accounts, financial records, planning, settings, and an optional provider-backed assistant. Render deployment configuration is present and the project is hosted at the URL above. Hosting does not constitute an independent production security review.</w:t>
      </w:r>
    </w:p>
    <w:p>
      <w:r>
        <w:t>This is a source-based self-assessment, not a penetration test, security certification, or audit of the live Render environment. Code and tests can demonstrate intended controls but cannot establish operational configuration, infrastructure security, provider retention, or absence of unknown defects. Findings describe the application and its documented boundaries.</w:t>
      </w:r>
    </w:p>
    <w:p>
      <w:pPr>
        <w:pStyle w:val="Heading1"/>
      </w:pPr>
      <w:r>
        <w:t>2. Access model</w:t>
      </w:r>
    </w:p>
    <w:tbl>
      <w:tblPr>
        <w:tblStyle w:val="TableGrid"/>
      </w:tblPr>
      <w:tr>
        <w:tc>
          <w:p>
            <w:r>
              <w:rPr>
                <w:b/>
              </w:rPr>
              <w:t>Principal</w:t>
            </w:r>
          </w:p>
        </w:tc>
        <w:tc>
          <w:p>
            <w:r>
              <w:rPr>
                <w:b/>
              </w:rPr>
              <w:t>Allowed actions</w:t>
            </w:r>
          </w:p>
        </w:tc>
        <w:tc>
          <w:p>
            <w:r>
              <w:rPr>
                <w:b/>
              </w:rPr>
              <w:t>Enforcement / boundary</w:t>
            </w:r>
          </w:p>
        </w:tc>
      </w:tr>
      <w:tr>
        <w:tc>
          <w:p>
            <w:r>
              <w:t>Anonymous visitor</w:t>
            </w:r>
          </w:p>
        </w:tc>
        <w:tc>
          <w:p>
            <w:r>
              <w:t>Access public authentication and explicitly designated legal placeholder routes.</w:t>
            </w:r>
          </w:p>
        </w:tc>
        <w:tc>
          <w:p>
            <w:r>
              <w:t>Protected API routes require a valid server-checked session.</w:t>
            </w:r>
          </w:p>
        </w:tc>
      </w:tr>
      <w:tr>
        <w:tc>
          <w:p>
            <w:r>
              <w:t>Authenticated account owner</w:t>
            </w:r>
          </w:p>
        </w:tc>
        <w:tc>
          <w:p>
            <w:r>
              <w:t>Read and manage that account's own financial data and settings.</w:t>
            </w:r>
          </w:p>
        </w:tc>
        <w:tc>
          <w:p>
            <w:r>
              <w:t>Opaque HttpOnly cookie; owner scoping in backend services and routes; rate limiting on selected sensitive flows.</w:t>
            </w:r>
          </w:p>
        </w:tc>
      </w:tr>
      <w:tr>
        <w:tc>
          <w:p>
            <w:r>
              <w:t>AI assistant service</w:t>
            </w:r>
          </w:p>
        </w:tc>
        <w:tc>
          <w:p>
            <w:r>
              <w:t>Read bounded context and prepare supported financial change proposals; persist conversations and receipts.</w:t>
            </w:r>
          </w:p>
        </w:tc>
        <w:tc>
          <w:p>
            <w:r>
              <w:t>Provider called server-side. Supported writes require a separate user confirmation bound to the proposal version; no unattended writes.</w:t>
            </w:r>
          </w:p>
        </w:tc>
      </w:tr>
    </w:tbl>
    <w:p>
      <w:r>
        <w:t>There is no administrative or multi-role application tier. The AI assistant is not a separate human principal and does not receive unrestricted database access.</w:t>
      </w:r>
    </w:p>
    <w:p>
      <w:pPr>
        <w:pStyle w:val="Heading1"/>
      </w:pPr>
      <w:r>
        <w:t>3. Implemented controls observed in source</w:t>
      </w:r>
    </w:p>
    <w:tbl>
      <w:tblPr>
        <w:tblStyle w:val="TableGrid"/>
      </w:tblPr>
      <w:tr>
        <w:tc>
          <w:p>
            <w:r>
              <w:rPr>
                <w:b/>
              </w:rPr>
              <w:t>Area</w:t>
            </w:r>
          </w:p>
        </w:tc>
        <w:tc>
          <w:p>
            <w:r>
              <w:rPr>
                <w:b/>
              </w:rPr>
              <w:t>Observed implementation</w:t>
            </w:r>
          </w:p>
        </w:tc>
      </w:tr>
      <w:tr>
        <w:tc>
          <w:p>
            <w:r>
              <w:t>Passwords</w:t>
            </w:r>
          </w:p>
        </w:tc>
        <w:tc>
          <w:p>
            <w:r>
              <w:t>Password policy requires at least 8 characters, upper and lower case, a number and a symbol, with a 512-character maximum. Passwords are hashed with Argon2id.</w:t>
            </w:r>
          </w:p>
        </w:tc>
      </w:tr>
      <w:tr>
        <w:tc>
          <w:p>
            <w:r>
              <w:t>Sessions</w:t>
            </w:r>
          </w:p>
        </w:tc>
        <w:tc>
          <w:p>
            <w:r>
              <w:t>Random opaque HttpOnly cookies; only hashed session identifiers are persisted. Login rotates sessions, logout revokes them, and protected requests check session state server-side. Remember Me uses a 30-day cookie; otherwise server-side expiry is 8 hours.</w:t>
            </w:r>
          </w:p>
        </w:tc>
      </w:tr>
      <w:tr>
        <w:tc>
          <w:p>
            <w:r>
              <w:t>Request abuse</w:t>
            </w:r>
          </w:p>
        </w:tc>
        <w:tc>
          <w:p>
            <w:r>
              <w:t>Persisted rate-limit handling exists for authentication and assistant request paths. Limits and operational resistance to distributed abuse still need deployment review.</w:t>
            </w:r>
          </w:p>
        </w:tc>
      </w:tr>
      <w:tr>
        <w:tc>
          <w:p>
            <w:r>
              <w:t>Ownership and isolation</w:t>
            </w:r>
          </w:p>
        </w:tc>
        <w:tc>
          <w:p>
            <w:r>
              <w:t>Finance and assistant data are scoped to the authenticated account and supported dataset. Development sample data is explicit and production paths reject it.</w:t>
            </w:r>
          </w:p>
        </w:tc>
      </w:tr>
      <w:tr>
        <w:tc>
          <w:p>
            <w:r>
              <w:t>Financial integrity</w:t>
            </w:r>
          </w:p>
        </w:tc>
        <w:tc>
          <w:p>
            <w:r>
              <w:t>Transfers use atomic reviewed operations; sensitive deletions require confirmation; goal funding distinguishes internal allocation from external deposit. Budgets, goals and supported transaction proposals use canonical writes.</w:t>
            </w:r>
          </w:p>
        </w:tc>
      </w:tr>
      <w:tr>
        <w:tc>
          <w:p>
            <w:r>
              <w:t>AI proposal boundary</w:t>
            </w:r>
          </w:p>
        </w:tc>
        <w:tc>
          <w:p>
            <w:r>
              <w:t>Assistant proposals are version-bound and time-limited. Confirm, edit and cancel are separate actions; writes are atomic and replay receipts are durable. Supported proposals cover budgets, goals, and income/expense transactions. It does not execute bank payments or transfers.</w:t>
            </w:r>
          </w:p>
        </w:tc>
      </w:tr>
      <w:tr>
        <w:tc>
          <w:p>
            <w:r>
              <w:t>AI privacy</w:t>
            </w:r>
          </w:p>
        </w:tc>
        <w:tc>
          <w:p>
            <w:r>
              <w:t>Provider credentials remain server-side. Context is bounded; provider calls are optional and require configuration. UI privacy conceals displayed amounts and chat text but does not alter stored data or provider context.</w:t>
            </w:r>
          </w:p>
        </w:tc>
      </w:tr>
      <w:tr>
        <w:tc>
          <w:p>
            <w:r>
              <w:t>Settings and exports</w:t>
            </w:r>
          </w:p>
        </w:tc>
        <w:tc>
          <w:p>
            <w:r>
              <w:t>Session revocation and scoped data exports are available. CSV handling includes formula-injection precautions. Exported files are outside app control.</w:t>
            </w:r>
          </w:p>
        </w:tc>
      </w:tr>
      <w:tr>
        <w:tc>
          <w:p>
            <w:r>
              <w:t>Deployment configuration</w:t>
            </w:r>
          </w:p>
        </w:tc>
        <w:tc>
          <w:p>
            <w:r>
              <w:t>Render blueprint sets production mode, secure cookies, persistent SQLite disk and frontend origin. Actual host, trusted-host configuration, secrets, backups, access controls and monitoring must be checked in the deployed environment.</w:t>
            </w:r>
          </w:p>
        </w:tc>
      </w:tr>
    </w:tbl>
    <w:p>
      <w:pPr>
        <w:pStyle w:val="Heading1"/>
      </w:pPr>
      <w:r>
        <w:t>4. Risks and follow-up</w:t>
      </w:r>
    </w:p>
    <w:tbl>
      <w:tblPr>
        <w:tblStyle w:val="TableGrid"/>
      </w:tblPr>
      <w:tr>
        <w:tc>
          <w:p>
            <w:r>
              <w:rPr>
                <w:b/>
              </w:rPr>
              <w:t>Risk</w:t>
            </w:r>
          </w:p>
        </w:tc>
        <w:tc>
          <w:p>
            <w:r>
              <w:rPr>
                <w:b/>
              </w:rPr>
              <w:t>Current mitigation / status</w:t>
            </w:r>
          </w:p>
        </w:tc>
        <w:tc>
          <w:p>
            <w:r>
              <w:rPr>
                <w:b/>
              </w:rPr>
              <w:t>Follow-up before broad production use</w:t>
            </w:r>
          </w:p>
        </w:tc>
      </w:tr>
      <w:tr>
        <w:tc>
          <w:p>
            <w:r>
              <w:t>No MFA or verified email</w:t>
            </w:r>
          </w:p>
        </w:tc>
        <w:tc>
          <w:p>
            <w:r>
              <w:t>Neither is implemented.</w:t>
            </w:r>
          </w:p>
        </w:tc>
        <w:tc>
          <w:p>
            <w:r>
              <w:t>Add MFA and verified-email enrollment/recovery appropriate to the account risk.</w:t>
            </w:r>
          </w:p>
        </w:tc>
      </w:tr>
      <w:tr>
        <w:tc>
          <w:p>
            <w:r>
              <w:t>Password recovery unavailable</w:t>
            </w:r>
          </w:p>
        </w:tc>
        <w:tc>
          <w:p>
            <w:r>
              <w:t>Forgot-password path is not a functioning reset-email workflow.</w:t>
            </w:r>
          </w:p>
        </w:tc>
        <w:tc>
          <w:p>
            <w:r>
              <w:t>Implement expiring, single-use reset tokens and delivery controls.</w:t>
            </w:r>
          </w:p>
        </w:tc>
      </w:tr>
      <w:tr>
        <w:tc>
          <w:p>
            <w:r>
              <w:t>Placeholder legal pages</w:t>
            </w:r>
          </w:p>
        </w:tc>
        <w:tc>
          <w:p>
            <w:r>
              <w:t>Terms and Privacy are explicitly placeholders.</w:t>
            </w:r>
          </w:p>
        </w:tc>
        <w:tc>
          <w:p>
            <w:r>
              <w:t>Publish approved legal content and record the accepted version.</w:t>
            </w:r>
          </w:p>
        </w:tc>
      </w:tr>
      <w:tr>
        <w:tc>
          <w:p>
            <w:r>
              <w:t>AI provider disclosure and retention</w:t>
            </w:r>
          </w:p>
        </w:tc>
        <w:tc>
          <w:p>
            <w:r>
              <w:t>Only bounded context is sent to the configured provider; no key is shipped to the browser.</w:t>
            </w:r>
          </w:p>
        </w:tc>
        <w:tc>
          <w:p>
            <w:r>
              <w:t>Review provider contract, retention, regional handling and user disclosure; configure budgets/usage limits.</w:t>
            </w:r>
          </w:p>
        </w:tc>
      </w:tr>
      <w:tr>
        <w:tc>
          <w:p>
            <w:r>
              <w:t>AI answer correctness and injection</w:t>
            </w:r>
          </w:p>
        </w:tc>
        <w:tc>
          <w:p>
            <w:r>
              <w:t>Assistant is informational; financial writes require confirmation.</w:t>
            </w:r>
          </w:p>
        </w:tc>
        <w:tc>
          <w:p>
            <w:r>
              <w:t>Evaluate adversarial user-entered context and advice quality; present clear limitations.</w:t>
            </w:r>
          </w:p>
        </w:tc>
      </w:tr>
      <w:tr>
        <w:tc>
          <w:p>
            <w:r>
              <w:t>Database protection</w:t>
            </w:r>
          </w:p>
        </w:tc>
        <w:tc>
          <w:p>
            <w:r>
              <w:t>SQLite is persisted on the Render disk; application-level encryption at rest is not implemented.</w:t>
            </w:r>
          </w:p>
        </w:tc>
        <w:tc>
          <w:p>
            <w:r>
              <w:t>Verify platform disk encryption, filesystem access, backup encryption, restore procedure and retention.</w:t>
            </w:r>
          </w:p>
        </w:tc>
      </w:tr>
      <w:tr>
        <w:tc>
          <w:p>
            <w:r>
              <w:t>Operational hardening</w:t>
            </w:r>
          </w:p>
        </w:tc>
        <w:tc>
          <w:p>
            <w:r>
              <w:t>Application config supports secure cookies and trusted hosts; operational state is not certified by this document.</w:t>
            </w:r>
          </w:p>
        </w:tc>
        <w:tc>
          <w:p>
            <w:r>
              <w:t>Verify exact production origins/hosts, HTTPS, secret rotation, migrations/backups, monitoring and incident response.</w:t>
            </w:r>
          </w:p>
        </w:tc>
      </w:tr>
      <w:tr>
        <w:tc>
          <w:p>
            <w:r>
              <w:t>Accessibility and responsive scope</w:t>
            </w:r>
          </w:p>
        </w:tc>
        <w:tc>
          <w:p>
            <w:r>
              <w:t>Desktop-first interface; some inherited design colors have contrast concerns.</w:t>
            </w:r>
          </w:p>
        </w:tc>
        <w:tc>
          <w:p>
            <w:r>
              <w:t>Audit keyboard/screen-reader behavior and WCAG contrast; implement/test smaller screen layouts as required.</w:t>
            </w:r>
          </w:p>
        </w:tc>
      </w:tr>
      <w:tr>
        <w:tc>
          <w:p>
            <w:r>
              <w:t>Dependencies and supply chain</w:t>
            </w:r>
          </w:p>
        </w:tc>
        <w:tc>
          <w:p>
            <w:r>
              <w:t>Project has build/tests; this report does not represent a current dependency audit.</w:t>
            </w:r>
          </w:p>
        </w:tc>
        <w:tc>
          <w:p>
            <w:r>
              <w:t>Run current dependency and container scans, review advisories and establish update cadence.</w:t>
            </w:r>
          </w:p>
        </w:tc>
      </w:tr>
      <w:tr>
        <w:tc>
          <w:p>
            <w:r>
              <w:t>External exchange rates</w:t>
            </w:r>
          </w:p>
        </w:tc>
        <w:tc>
          <w:p>
            <w:r>
              <w:t>Financial Hub uses an external open-access exchange-rate endpoint for display conversion.</w:t>
            </w:r>
          </w:p>
        </w:tc>
        <w:tc>
          <w:p>
            <w:r>
              <w:t>Handle stale/unavailable rates clearly; conversion is informational and does not move funds.</w:t>
            </w:r>
          </w:p>
        </w:tc>
      </w:tr>
    </w:tbl>
    <w:p>
      <w:pPr>
        <w:pStyle w:val="Heading1"/>
      </w:pPr>
      <w:r>
        <w:t>5. Verification evidence and limits</w:t>
      </w:r>
    </w:p>
    <w:p>
      <w:r>
        <w:t>The repository docs/IMPLEMENTATION_STATUS.md records the project-team verification baseline: production build passed; 119 frontend unit/component cases passed; 204 backend cases passed with one optional paid live-provider case skipped; 128 browser regression cases passed; and 11 agent browser cases passed using scripted model calls and real backend persistence. These are repository-recorded results from the implementation environment, not results reproduced in this assessment environment.</w:t>
      </w:r>
    </w:p>
    <w:p>
      <w:r>
        <w:t>This Windows checkout was also tested during this document update. The production build passed, with Vite reporting a large-chunk advisory. The frontend unit run reported 85 passed and 34 failed under Node 26, including unavailable localStorage errors. The backend run from its correct folder reported 189 passed, 16 failed and 1 skipped under Python 3.14; timezone validation and one route-status expectation account for the failures. The browser run could not start because port 8090 was occupied. These results may reflect runtime or environment differences and should be rerun with the project verification runtimes. The earlier project-team test counts were not independently reproduced here.</w:t>
      </w:r>
    </w:p>
    <w:p>
      <w:r>
        <w:t>Assessment findings are based on source/document review and the test records cited above. No live penetration testing, provider call, Render configuration inspection, or independent audit was performed.</w:t>
      </w:r>
    </w:p>
    <w:p>
      <w:pPr>
        <w:pStyle w:val="Heading1"/>
      </w:pPr>
      <w:r>
        <w:t>6. Priority actions</w:t>
      </w:r>
    </w:p>
    <w:p>
      <w:r>
        <w:t>- Before general use: finalize Terms/Privacy; confirm production origins, trusted hosts, HTTPS, secret handling and database backups; document and test restore operations.</w:t>
      </w:r>
    </w:p>
    <w:p>
      <w:r>
        <w:t>- Before handling sensitive personal finance at scale: add MFA and verified recovery, review rate limits and monitoring, and perform an independent security assessment.</w:t>
      </w:r>
    </w:p>
    <w:p>
      <w:r>
        <w:t>- Before enabling AI for real users: disclose provider processing, review retention terms, set usage controls, test prompt injection and advice quality, and keep every financial write behind explicit user review.</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FINCEPT AI Security Self-Assessment Report</dc:title>
  <dc:description>Claude Docs node/133c429b-bdb6@1 docx-w7</dc:description>
  <cp:revision>1</cp:revision>
</cp:coreProperties>
</file>