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FINCEPT AI Technical Documentation</w:t>
      </w:r>
    </w:p>
    <w:p>
      <w:r>
        <w:t>FinTechathon 2026 - International Track - Topic A - Personal Finance Assistant</w:t>
      </w:r>
    </w:p>
    <w:p>
      <w:r>
        <w:t>Repository: https://github.com/fahimabdullah45456/fincept-ai - Hosted demo: https://fincept-ai-final.onrender.com</w:t>
      </w:r>
    </w:p>
    <w:p>
      <w:r>
        <w:t>Documentation refreshed: 20 October 2026</w:t>
      </w:r>
    </w:p>
    <w:p>
      <w:pPr>
        <w:pStyle w:val="Heading1"/>
      </w:pPr>
      <w:r>
        <w:t>1. Product overview</w:t>
      </w:r>
    </w:p>
    <w:p>
      <w:r>
        <w:t>FINCEPT AI is a desktop-first personal finance management application for individual users. It combines account authentication and financial tracking with planning, analytics, settings, and an optional AI assistant grounded in the user's own records. The deployed demo is hosted at https://fincept-ai-final.onrender.com.</w:t>
      </w:r>
    </w:p>
    <w:tbl>
      <w:tblPr>
        <w:tblStyle w:val="TableGrid"/>
      </w:tblPr>
      <w:tr>
        <w:tc>
          <w:p>
            <w:r>
              <w:rPr>
                <w:b/>
              </w:rPr>
              <w:t>Capability</w:t>
            </w:r>
          </w:p>
        </w:tc>
        <w:tc>
          <w:p>
            <w:r>
              <w:rPr>
                <w:b/>
              </w:rPr>
              <w:t>Implementation</w:t>
            </w:r>
          </w:p>
        </w:tc>
      </w:tr>
      <w:tr>
        <w:tc>
          <w:p>
            <w:r>
              <w:t>Smart budgeting</w:t>
            </w:r>
          </w:p>
        </w:tc>
        <w:tc>
          <w:p>
            <w:r>
              <w:t>Persistent category budgets, explicit saved date periods, spending allocation shared with Overview, risk alerts and history. Automatic recurrence is not implemented.</w:t>
            </w:r>
          </w:p>
        </w:tc>
      </w:tr>
      <w:tr>
        <w:tc>
          <w:p>
            <w:r>
              <w:t>Bill and transaction tracking</w:t>
            </w:r>
          </w:p>
        </w:tc>
        <w:tc>
          <w:p>
            <w:r>
              <w:t>Income, expenses, categories, filters, transfers/fees and CSV export. No bank synchronization.</w:t>
            </w:r>
          </w:p>
        </w:tc>
      </w:tr>
      <w:tr>
        <w:tc>
          <w:p>
            <w:r>
              <w:t>Spending insights</w:t>
            </w:r>
          </w:p>
        </w:tc>
        <w:tc>
          <w:p>
            <w:r>
              <w:t>Period summaries, category drill-down, budget performance and current goal progress.</w:t>
            </w:r>
          </w:p>
        </w:tc>
      </w:tr>
      <w:tr>
        <w:tc>
          <w:p>
            <w:r>
              <w:t>Planning</w:t>
            </w:r>
          </w:p>
        </w:tc>
        <w:tc>
          <w:p>
            <w:r>
              <w:t>Calendar tasks, occasion plans and reviewed savings contributions. Reminder delivery is unavailable.</w:t>
            </w:r>
          </w:p>
        </w:tc>
      </w:tr>
      <w:tr>
        <w:tc>
          <w:p>
            <w:r>
              <w:t>AI assistance</w:t>
            </w:r>
          </w:p>
        </w:tc>
        <w:tc>
          <w:p>
            <w:r>
              <w:t>Persistent owned conversations and bounded financial context. Optional provider replies; supported change proposals require user confirmation.</w:t>
            </w:r>
          </w:p>
        </w:tc>
      </w:tr>
    </w:tbl>
    <w:p>
      <w:pPr>
        <w:pStyle w:val="Heading1"/>
      </w:pPr>
      <w:r>
        <w:t>2. Architecture</w:t>
      </w:r>
    </w:p>
    <w:tbl>
      <w:tblPr>
        <w:tblStyle w:val="TableGrid"/>
      </w:tblPr>
      <w:tr>
        <w:tc>
          <w:p>
            <w:r>
              <w:rPr>
                <w:b/>
              </w:rPr>
              <w:t>Layer</w:t>
            </w:r>
          </w:p>
        </w:tc>
        <w:tc>
          <w:p>
            <w:r>
              <w:rPr>
                <w:b/>
              </w:rPr>
              <w:t>Technology</w:t>
            </w:r>
          </w:p>
        </w:tc>
        <w:tc>
          <w:p>
            <w:r>
              <w:rPr>
                <w:b/>
              </w:rPr>
              <w:t>Responsibilities</w:t>
            </w:r>
          </w:p>
        </w:tc>
      </w:tr>
      <w:tr>
        <w:tc>
          <w:p>
            <w:r>
              <w:t>Web client</w:t>
            </w:r>
          </w:p>
        </w:tc>
        <w:tc>
          <w:p>
            <w:r>
              <w:t>React 19, TypeScript, Vite, React Router</w:t>
            </w:r>
          </w:p>
        </w:tc>
        <w:tc>
          <w:p>
            <w:r>
              <w:t>Authentication screens, shared application shell, finance modules, privacy controls and API client.</w:t>
            </w:r>
          </w:p>
        </w:tc>
      </w:tr>
      <w:tr>
        <w:tc>
          <w:p>
            <w:r>
              <w:t>API</w:t>
            </w:r>
          </w:p>
        </w:tc>
        <w:tc>
          <w:p>
            <w:r>
              <w:t>FastAPI (Python)</w:t>
            </w:r>
          </w:p>
        </w:tc>
        <w:tc>
          <w:p>
            <w:r>
              <w:t>Authentication/session lifecycle, owner-scoped APIs, canonical finance operations, settings and assistant orchestration.</w:t>
            </w:r>
          </w:p>
        </w:tc>
      </w:tr>
      <w:tr>
        <w:tc>
          <w:p>
            <w:r>
              <w:t>Persistence</w:t>
            </w:r>
          </w:p>
        </w:tc>
        <w:tc>
          <w:p>
            <w:r>
              <w:t>SQLite</w:t>
            </w:r>
          </w:p>
        </w:tc>
        <w:tc>
          <w:p>
            <w:r>
              <w:t>Users, hashed sessions, canonical financial records, settings, conversations and proposal/receipt state. Additive startup migrations through schema v12.</w:t>
            </w:r>
          </w:p>
        </w:tc>
      </w:tr>
      <w:tr>
        <w:tc>
          <w:p>
            <w:r>
              <w:t>AI provider boundary</w:t>
            </w:r>
          </w:p>
        </w:tc>
        <w:tc>
          <w:p>
            <w:r>
              <w:t>OpenAI-compatible server-side adapters (OpenAI or apmix configuration)</w:t>
            </w:r>
          </w:p>
        </w:tc>
        <w:tc>
          <w:p>
            <w:r>
              <w:t>Optional model calls from the backend. API keys are never frontend variables. Provider/model availability and credentials are deployment-dependent.</w:t>
            </w:r>
          </w:p>
        </w:tc>
      </w:tr>
      <w:tr>
        <w:tc>
          <w:p>
            <w:r>
              <w:t>Hosting</w:t>
            </w:r>
          </w:p>
        </w:tc>
        <w:tc>
          <w:p>
            <w:r>
              <w:t>Render Docker web service</w:t>
            </w:r>
          </w:p>
        </w:tc>
        <w:tc>
          <w:p>
            <w:r>
              <w:t>Dockerfile builds the frontend and serves it through FastAPI; render.yaml provisions service settings and a persistent SQLite disk.</w:t>
            </w:r>
          </w:p>
        </w:tc>
      </w:tr>
    </w:tbl>
    <w:p>
      <w:r>
        <w:t>During local development, Vite proxies /api to FastAPI on port 8000. Production uses the Docker-served frontend and API in one service. The Render Blueprint declares APP_ENV=production, COOKIE_SECURE=true, DATABASE_PATH=/var/data/fincept.sqlite3 and the expected frontend origin. AI_PROVIDER, AI_MODEL and APMIX_API_KEY are secret/config values that must be supplied in Render. Trusted-host configuration should match the deployed API host.</w:t>
      </w:r>
    </w:p>
    <w:p>
      <w:pPr>
        <w:pStyle w:val="Heading1"/>
      </w:pPr>
      <w:r>
        <w:t>3. Application modules</w:t>
      </w:r>
    </w:p>
    <w:p>
      <w:r>
        <w:t>- Authentication: sign-up/sign-in, session verification, logout and session lifecycle controls.</w:t>
      </w:r>
    </w:p>
    <w:p>
      <w:r>
        <w:t>- Overview: authenticated financial summary plus explicitly selected isolated sample workspace.</w:t>
      </w:r>
    </w:p>
    <w:p>
      <w:r>
        <w:t>- Transactions and Wallets: canonical income/expense/transfer records, wallet events and safe exports.</w:t>
      </w:r>
    </w:p>
    <w:p>
      <w:r>
        <w:t>- Budgets and Goals: persistent plans, shared spending calculations, reviewed funding and history.</w:t>
      </w:r>
    </w:p>
    <w:p>
      <w:r>
        <w:t>- Insights: selected-period analytics, drill-down and privacy-aware CSV export.</w:t>
      </w:r>
    </w:p>
    <w:p>
      <w:r>
        <w:t>- Planner: owner-scoped calendar/task CRUD, occasion plans and reviewed canonical savings contributions.</w:t>
      </w:r>
    </w:p>
    <w:p>
      <w:r>
        <w:t>- Debt &amp; Loans and Financial Hub: tracking features; exchange-rate conversion is informational; no silent movement of funds.</w:t>
      </w:r>
    </w:p>
    <w:p>
      <w:r>
        <w:t>- Settings: profile, security/preferences, session revocation and owner-scoped data exports/clear demo action.</w:t>
      </w:r>
    </w:p>
    <w:p>
      <w:r>
        <w:t>- AI Assistant: stored user-owned conversations, bounded context, provider calls when configured, and proposal/confirmation flow for supported financial changes.</w:t>
      </w:r>
    </w:p>
    <w:p>
      <w:pPr>
        <w:pStyle w:val="Heading1"/>
      </w:pPr>
      <w:r>
        <w:t>4. Financial and AI behavior</w:t>
      </w:r>
    </w:p>
    <w:p>
      <w:pPr>
        <w:pStyle w:val="Heading2"/>
      </w:pPr>
      <w:r>
        <w:t>Accounting invariants</w:t>
      </w:r>
    </w:p>
    <w:p>
      <w:r>
        <w:t>- Wallet opening balances are not income. Internal transfers do not create income; transfer fees are represented separately.</w:t>
      </w:r>
    </w:p>
    <w:p>
      <w:r>
        <w:t>- Allocating existing wallet funds to a goal changes allocation but not total assets or income. An external deposit creates one linked wallet event.</w:t>
      </w:r>
    </w:p>
    <w:p>
      <w:r>
        <w:t>- Budget deletion preserves source transactions. Periods are explicitly saved date windows; automatic rollover/recurrence is not claimed.</w:t>
      </w:r>
    </w:p>
    <w:p>
      <w:r>
        <w:t>- Debt &amp; Loans purchases/payments are tracking-only. Financial Hub exchange-rate conversion does not execute payments.</w:t>
      </w:r>
    </w:p>
    <w:p>
      <w:pPr>
        <w:pStyle w:val="Heading2"/>
      </w:pPr>
      <w:r>
        <w:t>Assistant data and actions</w:t>
      </w:r>
    </w:p>
    <w:p>
      <w:r>
        <w:t>The backend selects bounded, relevant context from the signed-in user's records and sends it only to the configured provider. Conversations persist in SQLite and are owner-scoped. No provider key is exposed to the browser. Missing provider configuration or provider failure is surfaced as an unavailable/error state, not simulated model output.</w:t>
      </w:r>
    </w:p>
    <w:p>
      <w:r>
        <w:t>The assistant can prepare supported budget, goal, and income/expense transaction proposals. A proposal is previewed and bound to a version; the user must explicitly confirm that exact version. Editing changes the proposal and requires a new confirmation. Cancellation saves no financial change. Atomic canonical writes and durable replay receipts prevent duplicate execution on retries. The assistant does not initiate bank transfers, payments, goal contributions, debt changes, or other unlisted actions.</w:t>
      </w:r>
    </w:p>
    <w:p>
      <w:r>
        <w:t>The global privacy control hides displayed financial values and chat/history text. It is presentation privacy: it does not erase stored records or change the backend/provider context.</w:t>
      </w:r>
    </w:p>
    <w:p>
      <w:pPr>
        <w:pStyle w:val="Heading1"/>
      </w:pPr>
      <w:r>
        <w:t>5. Data and configuration</w:t>
      </w:r>
    </w:p>
    <w:p>
      <w:r>
        <w:t>- Default local database: backend/data/fincept.sqlite3. The backend initializes it automatically and applies additive schema migrations through v12. Back up the database before deploying upgrades.</w:t>
      </w:r>
    </w:p>
    <w:p>
      <w:r>
        <w:t>- No seeded account is shipped. Register an account for local development; use disposable test data.</w:t>
      </w:r>
    </w:p>
    <w:p>
      <w:r>
        <w:t>- AI credentials belong in the backend/server environment only. Supported setup is documented in README.md and docs/ASSISTANT.md. Never use a VITE_ secret or commit real keys.</w:t>
      </w:r>
    </w:p>
    <w:p>
      <w:r>
        <w:t>- Currency conversion uses an external ExchangeRate-API open-access endpoint and requires outbound HTTPS.</w:t>
      </w:r>
    </w:p>
    <w:p>
      <w:r>
        <w:t>- Sample data is an explicit development choice, isolated from live data, and rejected in production.</w:t>
      </w:r>
    </w:p>
    <w:p>
      <w:pPr>
        <w:pStyle w:val="Heading1"/>
      </w:pPr>
      <w:r>
        <w:t>6. Run locally</w:t>
      </w:r>
    </w:p>
    <w:p>
      <w:r>
        <w:t>Requirements: Node.js (project verification recorded on Node 24; this checkout may need that runtime for its browser-storage tests) and Python 3.11+. Start two terminals at the repository root.</w:t>
      </w:r>
    </w:p>
    <w:p>
      <w:pPr>
        <w:pStyle w:val="Heading2"/>
      </w:pPr>
      <w:r>
        <w:t>Backend terminal</w:t>
      </w:r>
    </w:p>
    <w:p>
      <w:r>
        <w:t>cd backend
python -m venv .venv
Windows PowerShell: .\.venv\Scripts\Activate.ps1
python -m pip install -r requirements-dev.txt
python -m uvicorn app.main:app --reload --host 127.0.0.1 --port 8000</w:t>
      </w:r>
    </w:p>
    <w:p>
      <w:pPr>
        <w:pStyle w:val="Heading2"/>
      </w:pPr>
      <w:r>
        <w:t>Frontend terminal</w:t>
      </w:r>
    </w:p>
    <w:p>
      <w:r>
        <w:t>npm ci
npm run dev
Open http://127.0.0.1:5173/sign-up or /sign-in.</w:t>
      </w:r>
    </w:p>
    <w:p>
      <w:r>
        <w:t>See README.md for Render deployment notes and required environment configuration. Live AI replies require a configured server-side provider and credentials.</w:t>
      </w:r>
    </w:p>
    <w:p>
      <w:pPr>
        <w:pStyle w:val="Heading1"/>
      </w:pPr>
      <w:r>
        <w:t>7. Test evidence</w:t>
      </w:r>
    </w:p>
    <w:tbl>
      <w:tblPr>
        <w:tblStyle w:val="TableGrid"/>
      </w:tblPr>
      <w:tr>
        <w:tc>
          <w:p>
            <w:r>
              <w:rPr>
                <w:b/>
              </w:rPr>
              <w:t>Suite</w:t>
            </w:r>
          </w:p>
        </w:tc>
        <w:tc>
          <w:p>
            <w:r>
              <w:rPr>
                <w:b/>
              </w:rPr>
              <w:t>Repository-recorded current baseline</w:t>
            </w:r>
          </w:p>
        </w:tc>
      </w:tr>
      <w:tr>
        <w:tc>
          <w:p>
            <w:r>
              <w:t>Frontend unit/component</w:t>
            </w:r>
          </w:p>
        </w:tc>
        <w:tc>
          <w:p>
            <w:r>
              <w:t>119 passed (17 files)</w:t>
            </w:r>
          </w:p>
        </w:tc>
      </w:tr>
      <w:tr>
        <w:tc>
          <w:p>
            <w:r>
              <w:t>Backend</w:t>
            </w:r>
          </w:p>
        </w:tc>
        <w:tc>
          <w:p>
            <w:r>
              <w:t>204 passed, 1 skipped (optional paid live-provider test), 3 upstream warnings</w:t>
            </w:r>
          </w:p>
        </w:tc>
      </w:tr>
      <w:tr>
        <w:tc>
          <w:p>
            <w:r>
              <w:t>Browser regression</w:t>
            </w:r>
          </w:p>
        </w:tc>
        <w:tc>
          <w:p>
            <w:r>
              <w:t>128 passed</w:t>
            </w:r>
          </w:p>
        </w:tc>
      </w:tr>
      <w:tr>
        <w:tc>
          <w:p>
            <w:r>
              <w:t>Agent browser flow</w:t>
            </w:r>
          </w:p>
        </w:tc>
        <w:tc>
          <w:p>
            <w:r>
              <w:t>11 passed with scripted model calls and real backend persistence; not evidence of a live provider model call</w:t>
            </w:r>
          </w:p>
        </w:tc>
      </w:tr>
      <w:tr>
        <w:tc>
          <w:p>
            <w:r>
              <w:t>Production build</w:t>
            </w:r>
          </w:p>
        </w:tc>
        <w:tc>
          <w:p>
            <w:r>
              <w:t>Passed; Vite reported a large-chunk advisory</w:t>
            </w:r>
          </w:p>
        </w:tc>
      </w:tr>
    </w:tbl>
    <w:p>
      <w:r>
        <w:t>These figures come from docs/IMPLEMENTATION_STATUS.md and its referenced QA evidence. They were not reproduced on this Windows host during this update. Here, npm run build passed. npm test reported 85 passed and 34 failed under Node 26, including localStorage errors. The backend suite from the backend working directory reported 189 passed, 16 failed and 1 skipped under Python 3.14; timezone validation and one route-status expectation account for the failures. The browser run could not start because port 8090 was occupied. Rerun with the project verification runtimes before interpreting these failures. No live AI call or deployment acceptance check was performed as part of this documentation update.</w:t>
      </w:r>
    </w:p>
    <w:p>
      <w:pPr>
        <w:pStyle w:val="Heading1"/>
      </w:pPr>
      <w:r>
        <w:t>8. Limitations</w:t>
      </w:r>
    </w:p>
    <w:p>
      <w:r>
        <w:t>- No bank connection or real-money payment execution; financial records are manually managed.</w:t>
      </w:r>
    </w:p>
    <w:p>
      <w:r>
        <w:t>- Google sign-in, email verification, functioning password-reset email, MFA and final legal documents are not implemented.</w:t>
      </w:r>
    </w:p>
    <w:p>
      <w:r>
        <w:t>- Desktop-first design; responsive mobile/tablet support is not claimed. Some inherited colors have WCAG AA contrast limitations.</w:t>
      </w:r>
    </w:p>
    <w:p>
      <w:r>
        <w:t>- Planner reminders and automatic budget recurrence are unavailable.</w:t>
      </w:r>
    </w:p>
    <w:p>
      <w:r>
        <w:t>- AI output may be wrong and is informational. Provider retention/disclosure and live response quality require deployment review.</w:t>
      </w:r>
    </w:p>
    <w:p>
      <w:r>
        <w:t>- Production security, backup restoration, rate-limit operations, database protections, monitoring and independent penetration testing require environment-specific review.</w:t>
      </w:r>
    </w:p>
    <w:p>
      <w:r>
        <w:t>- Settings JSON export is not a restorable full database backup; CSV/JSON exports leave the service boundary once downloaded.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FINCEPT AI Technical Documentation</dc:title>
  <dc:description>Claude Docs node/15a7b1cb-22d1@1 docx-w7</dc:description>
  <cp:revision>1</cp:revision>
</cp:coreProperties>
</file>