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C84B531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961ECE">
              <w:t>6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42271129" w:rsidR="00416C93" w:rsidRPr="007B39D2" w:rsidRDefault="00961ECE" w:rsidP="00681B64">
            <w:pPr>
              <w:jc w:val="center"/>
            </w:pPr>
            <w:r>
              <w:rPr>
                <w:b/>
                <w:sz w:val="36"/>
              </w:rPr>
              <w:t>Action to Address Risk and Opportunities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4BE2DD0D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E53FDE8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961ECE">
              <w:t>6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BB8373" w:rsidR="0057788D" w:rsidRPr="00366BB3" w:rsidRDefault="00961ECE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Action to Address Risk and Opportunities</w:t>
            </w:r>
            <w:r w:rsidR="00DC7319">
              <w:rPr>
                <w:b/>
                <w:sz w:val="36"/>
              </w:rPr>
              <w:t xml:space="preserve">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3B377B7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94A0D"/>
    <w:rsid w:val="00BE1C4C"/>
    <w:rsid w:val="00C05FAD"/>
    <w:rsid w:val="00C303D7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2024-09-10T10:47:00Z</dcterms:created>
  <dcterms:modified xsi:type="dcterms:W3CDTF">2024-09-10T10:47:00Z</dcterms:modified>
</cp:coreProperties>
</file>