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IELTS Listening Part 1</w:t>
        <w:br/>
        <w:t>Generation Specification</w:t>
      </w:r>
    </w:p>
    <w:p>
      <w:pPr>
        <w:jc w:val="center"/>
      </w:pPr>
      <w:r>
        <w:rPr>
          <w:b/>
          <w:color w:val="595959"/>
          <w:sz w:val="22"/>
        </w:rPr>
        <w:t>Clean implementation version • Research-backed • Designed for AI script generation and TTS</w:t>
      </w:r>
    </w:p>
    <w:p>
      <w:pPr>
        <w:jc w:val="center"/>
      </w:pPr>
      <w:r>
        <w:rPr>
          <w:i/>
          <w:sz w:val="19"/>
        </w:rPr>
        <w:t>Version 2 — simplified after reviewing the full research output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1F4E79"/>
              </w:rPr>
              <w:t>Purpose of this version</w:t>
            </w:r>
            <w:r>
              <w:br/>
              <w:t>This document keeps the findings that materially affect script quality and removes false precision. In particular, the generator should not micromanage speech with millisecond pause rules. Normal turn-taking, phrasing and micro-pauses should be left to the TTS model; the system only needs explicit control over overall pace and exam-level breaks.</w:t>
            </w:r>
          </w:p>
        </w:tc>
      </w:tr>
    </w:tbl>
    <w:p/>
    <w:p>
      <w:pPr>
        <w:pStyle w:val="Heading1"/>
        <w:keepNext/>
      </w:pPr>
      <w:r>
        <w:t>1. What is actually fixed by IELTS</w:t>
      </w:r>
    </w:p>
    <w:p>
      <w:r>
        <w:rPr>
          <w:b/>
        </w:rPr>
        <w:t>Official constraints</w:t>
      </w:r>
      <w:r>
        <w:t xml:space="preserve"> are separated from corpus-derived generation targets below.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F4E79"/>
          </w:tcPr>
          <w:p>
            <w:r>
              <w:rPr>
                <w:color w:val="FFFFFF"/>
              </w:rPr>
              <w:t>Constraint</w:t>
            </w:r>
          </w:p>
        </w:tc>
        <w:tc>
          <w:tcPr>
            <w:tcW w:type="dxa" w:w="5083"/>
            <w:shd w:fill="1F4E79"/>
          </w:tcPr>
          <w:p>
            <w:r>
              <w:rPr>
                <w:color w:val="FFFFFF"/>
              </w:rPr>
              <w:t>Practical meaning for generation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Two speakers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Part 1 is a conversation between two people.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Everyday social context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The situation is practical/social rather than academic.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Ten questions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Part 1 contributes Questions 1–10.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Answer order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Answers occur in the same order as the questions.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One-play listening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 the real test, candidates hear the recording once.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Accent variety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IELTS uses multiple standard English accents, including British, Australian, New Zealand and North American varieties.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Question-type variety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Completion, multiple choice, matching and other official Listening task types are possible.</w:t>
            </w:r>
          </w:p>
        </w:tc>
      </w:tr>
    </w:tbl>
    <w:p>
      <w:r>
        <w:rPr>
          <w:b/>
        </w:rPr>
        <w:t xml:space="preserve">Important: </w:t>
      </w:r>
      <w:r>
        <w:t>IELTS does not publish an official Part 1 word-count target, WPM band, dialogue-turn target or millisecond pause specification. Any such values in this document are practical generation targets inferred from sample material, not official rules.</w:t>
      </w:r>
    </w:p>
    <w:p>
      <w:pPr>
        <w:pStyle w:val="Heading1"/>
        <w:keepNext/>
      </w:pPr>
      <w:r>
        <w:t>2. Recommended conversation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2F5597"/>
          </w:tcPr>
          <w:p>
            <w:r>
              <w:rPr>
                <w:color w:val="FFFFFF"/>
              </w:rPr>
              <w:t>Parameter</w:t>
            </w:r>
          </w:p>
        </w:tc>
        <w:tc>
          <w:tcPr>
            <w:tcW w:type="dxa" w:w="5083"/>
            <w:shd w:fill="2F5597"/>
          </w:tcPr>
          <w:p>
            <w:r>
              <w:rPr>
                <w:color w:val="FFFFFF"/>
              </w:rPr>
              <w:t>Recommended rule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Speakers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Exactly 2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Scenario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One coherent everyday practical situation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Common relationships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Customer–staff, caller–organisation, applicant–adviser, renter–agent, interviewer–respondent, visitor–staff, friends/colleagues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Channel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Phone, service desk/office, face-to-face survey, or informal peer conversation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Opening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Establish purpose within roughly 2–5 turns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Development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Move from broad purpose to specific details; usually two logical information clusters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Ending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Short, practical close: thanks, decision, confirmation, next step, or goodbye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Continuity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Same two speakers and same scenario throughout the Part 1 conversation</w:t>
            </w:r>
          </w:p>
        </w:tc>
      </w:tr>
    </w:tbl>
    <w:p>
      <w:pPr>
        <w:pStyle w:val="Heading2"/>
      </w:pPr>
      <w:r>
        <w:t>Typical flow</w:t>
      </w:r>
    </w:p>
    <w:p>
      <w:pPr>
        <w:pStyle w:val="CompactBullet"/>
      </w:pPr>
      <w:r>
        <w:rPr>
          <w:b/>
        </w:rPr>
        <w:t xml:space="preserve">• </w:t>
      </w:r>
      <w:r>
        <w:t>Greeting/context → purpose of conversation</w:t>
      </w:r>
    </w:p>
    <w:p>
      <w:pPr>
        <w:pStyle w:val="CompactBullet"/>
      </w:pPr>
      <w:r>
        <w:rPr>
          <w:b/>
        </w:rPr>
        <w:t xml:space="preserve">• </w:t>
      </w:r>
      <w:r>
        <w:t>First information cluster → details, options, clarification</w:t>
      </w:r>
    </w:p>
    <w:p>
      <w:pPr>
        <w:pStyle w:val="CompactBullet"/>
      </w:pPr>
      <w:r>
        <w:rPr>
          <w:b/>
        </w:rPr>
        <w:t xml:space="preserve">• </w:t>
      </w:r>
      <w:r>
        <w:t>Natural transition to a second subtopic/task group</w:t>
      </w:r>
    </w:p>
    <w:p>
      <w:pPr>
        <w:pStyle w:val="CompactBullet"/>
      </w:pPr>
      <w:r>
        <w:rPr>
          <w:b/>
        </w:rPr>
        <w:t xml:space="preserve">• </w:t>
      </w:r>
      <w:r>
        <w:t>Second information cluster → comparison, confirmation, final details</w:t>
      </w:r>
    </w:p>
    <w:p>
      <w:pPr>
        <w:pStyle w:val="CompactBullet"/>
      </w:pPr>
      <w:r>
        <w:rPr>
          <w:b/>
        </w:rPr>
        <w:t xml:space="preserve">• </w:t>
      </w:r>
      <w:r>
        <w:t>Short practical close</w:t>
      </w:r>
    </w:p>
    <w:p>
      <w:r>
        <w:rPr>
          <w:b/>
        </w:rPr>
        <w:t xml:space="preserve">Do not force a telephone format. </w:t>
      </w:r>
      <w:r>
        <w:t>Phone calls are common, but official-style Part 1 material also includes surveys, face-to-face service interactions and conversations between friends or colleagues.</w:t>
      </w:r>
    </w:p>
    <w:p>
      <w:pPr>
        <w:pStyle w:val="Heading1"/>
        <w:keepNext/>
      </w:pPr>
      <w:r>
        <w:t>3. Core quantitative generation targets</w:t>
      </w:r>
    </w:p>
    <w:p>
      <w:r>
        <w:rPr>
          <w:b/>
        </w:rPr>
        <w:t xml:space="preserve">Use ranges, not exact quotas. </w:t>
      </w:r>
      <w:r>
        <w:t>The purpose is to keep generated scripts in a realistic zone while allowing natural variation.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</w:tcPr>
          <w:p>
            <w:r>
              <w:rPr>
                <w:color w:val="FFFFFF"/>
              </w:rPr>
              <w:t>Metric</w:t>
            </w:r>
          </w:p>
        </w:tc>
        <w:tc>
          <w:tcPr>
            <w:tcW w:type="dxa" w:w="3389"/>
            <w:shd w:fill="1F4E79"/>
          </w:tcPr>
          <w:p>
            <w:r>
              <w:rPr>
                <w:color w:val="FFFFFF"/>
              </w:rPr>
              <w:t>Recommended target</w:t>
            </w:r>
          </w:p>
        </w:tc>
        <w:tc>
          <w:tcPr>
            <w:tcW w:type="dxa" w:w="3389"/>
            <w:shd w:fill="1F4E79"/>
          </w:tcPr>
          <w:p>
            <w:r>
              <w:rPr>
                <w:color w:val="FFFFFF"/>
              </w:rPr>
              <w:t>Notes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Dialogue-only word count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Target 650–720 words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Preferred 600–760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Dialogue turns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Target about 38–44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Preferred 34–48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Average turn length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Usually 12–20 words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Short acknowledgements and longer explanatory turns are both normal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Dialogue duration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Roughly 4:45–5:30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About 4:30–5:50 is a useful practical range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Speaking pace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Target about 135–145 WPM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Keep most scripts within roughly 130–150 WPM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Speaker balance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Peers near-balanced; service expert may speak more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Avoid one speaker exceeding roughly two-thirds of the conversation</w:t>
            </w:r>
          </w:p>
        </w:tc>
      </w:tr>
    </w:tbl>
    <w:p>
      <w:r>
        <w:rPr>
          <w:b/>
        </w:rPr>
        <w:t xml:space="preserve">Calibration note: </w:t>
      </w:r>
      <w:r>
        <w:t>The 56-example corpus was used for scenario and structural pattern analysis. The quantitative word/turn calibration was checked directly against recent complete transcripts, including Cambridge 20 Test 3 (~587 dialogue words, 36 turns) and Test 4 (~677 dialogue words, 39 turns). Therefore these values are engineering targets, not a claimed 56-test statistical mean.</w:t>
      </w:r>
    </w:p>
    <w:p>
      <w:pPr>
        <w:pStyle w:val="Heading1"/>
        <w:keepNext/>
      </w:pPr>
      <w:r>
        <w:t>4. Topics and scenario library</w:t>
      </w:r>
    </w:p>
    <w:p>
      <w:r>
        <w:t>From the 56 Cambridge Part 1 examples reviewed (Cambridge IELTS 8–21), the strongest recurring families were organized activities, events/community services, employment, accommodation/renting, travel/tourism, surveys and everyday consumer services.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2F5597"/>
          </w:tcPr>
          <w:p>
            <w:r>
              <w:rPr>
                <w:color w:val="FFFFFF"/>
              </w:rPr>
              <w:t>Derived category</w:t>
            </w:r>
          </w:p>
        </w:tc>
        <w:tc>
          <w:tcPr>
            <w:tcW w:type="dxa" w:w="3389"/>
            <w:shd w:fill="2F5597"/>
          </w:tcPr>
          <w:p>
            <w:r>
              <w:rPr>
                <w:color w:val="FFFFFF"/>
              </w:rPr>
              <w:t>Examples</w:t>
            </w:r>
          </w:p>
        </w:tc>
        <w:tc>
          <w:tcPr>
            <w:tcW w:type="dxa" w:w="3389"/>
            <w:shd w:fill="2F5597"/>
          </w:tcPr>
          <w:p>
            <w:r>
              <w:rPr>
                <w:color w:val="FFFFFF"/>
              </w:rPr>
              <w:t>Share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Courses, clubs, membership &amp; activities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11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19.6%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Events, community activities &amp; venue/event planning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10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17.9%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Employment &amp; workplace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9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16.1%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Accommodation, moving &amp; renting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7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12.5%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Travel &amp; tourism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7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12.5%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Surveys &amp; interviews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4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7.1%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Consumer/home services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4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7.1%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Official/administrative reports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3.6%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Health/care/support services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3.6%</w:t>
            </w:r>
          </w:p>
        </w:tc>
      </w:tr>
    </w:tbl>
    <w:p>
      <w:pPr>
        <w:pStyle w:val="Heading2"/>
      </w:pPr>
      <w:r>
        <w:t>Recommended reusable scenario templates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t>Beginner sports course enquiry</w:t>
            </w:r>
          </w:p>
        </w:tc>
        <w:tc>
          <w:tcPr>
            <w:tcW w:type="dxa" w:w="508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t>Community club membership</w:t>
            </w:r>
          </w:p>
        </w:tc>
      </w:tr>
      <w:tr>
        <w:tc>
          <w:tcPr>
            <w:tcW w:type="dxa" w:w="508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t>Photography/art/music club</w:t>
            </w:r>
          </w:p>
        </w:tc>
        <w:tc>
          <w:tcPr>
            <w:tcW w:type="dxa" w:w="508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t>Children’s holiday workshop</w:t>
            </w:r>
          </w:p>
        </w:tc>
      </w:tr>
      <w:tr>
        <w:tc>
          <w:tcPr>
            <w:tcW w:type="dxa" w:w="508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t>Adult one-day class</w:t>
            </w:r>
          </w:p>
        </w:tc>
        <w:tc>
          <w:tcPr>
            <w:tcW w:type="dxa" w:w="508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t>Library/community-centre membership</w:t>
            </w:r>
          </w:p>
        </w:tc>
      </w:tr>
      <w:tr>
        <w:tc>
          <w:tcPr>
            <w:tcW w:type="dxa" w:w="508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t>Volunteering enquiry</w:t>
            </w:r>
          </w:p>
        </w:tc>
        <w:tc>
          <w:tcPr>
            <w:tcW w:type="dxa" w:w="508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t>Conservation group</w:t>
            </w:r>
          </w:p>
        </w:tc>
      </w:tr>
      <w:tr>
        <w:tc>
          <w:tcPr>
            <w:tcW w:type="dxa" w:w="508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t>Local festival enquiry</w:t>
            </w:r>
          </w:p>
        </w:tc>
        <w:tc>
          <w:tcPr>
            <w:tcW w:type="dxa" w:w="508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t>Community venue booking</w:t>
            </w:r>
          </w:p>
        </w:tc>
      </w:tr>
      <w:tr>
        <w:tc>
          <w:tcPr>
            <w:tcW w:type="dxa" w:w="508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t>Private celebration venue</w:t>
            </w:r>
          </w:p>
        </w:tc>
        <w:tc>
          <w:tcPr>
            <w:tcW w:type="dxa" w:w="508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t>Tourist-information enquiry</w:t>
            </w:r>
          </w:p>
        </w:tc>
      </w:tr>
      <w:tr>
        <w:tc>
          <w:tcPr>
            <w:tcW w:type="dxa" w:w="508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t>Family visit planning</w:t>
            </w:r>
          </w:p>
        </w:tc>
        <w:tc>
          <w:tcPr>
            <w:tcW w:type="dxa" w:w="508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t>Ferry/train/coach travel advice</w:t>
            </w:r>
          </w:p>
        </w:tc>
      </w:tr>
      <w:tr>
        <w:tc>
          <w:tcPr>
            <w:tcW w:type="dxa" w:w="508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t>Holiday/activity package</w:t>
            </w:r>
          </w:p>
        </w:tc>
        <w:tc>
          <w:tcPr>
            <w:tcW w:type="dxa" w:w="508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t>Holiday accommodation rental</w:t>
            </w:r>
          </w:p>
        </w:tc>
      </w:tr>
      <w:tr>
        <w:tc>
          <w:tcPr>
            <w:tcW w:type="dxa" w:w="508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t>Flat/house rental enquiry</w:t>
            </w:r>
          </w:p>
        </w:tc>
        <w:tc>
          <w:tcPr>
            <w:tcW w:type="dxa" w:w="508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t>Moving-to-a-new-area advice</w:t>
            </w:r>
          </w:p>
        </w:tc>
      </w:tr>
      <w:tr>
        <w:tc>
          <w:tcPr>
            <w:tcW w:type="dxa" w:w="508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t>Furniture/appliance rental</w:t>
            </w:r>
          </w:p>
        </w:tc>
        <w:tc>
          <w:tcPr>
            <w:tcW w:type="dxa" w:w="508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t>Cleaning/home-service quotation</w:t>
            </w:r>
          </w:p>
        </w:tc>
      </w:tr>
      <w:tr>
        <w:tc>
          <w:tcPr>
            <w:tcW w:type="dxa" w:w="508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t>Repair/maintenance enquiry</w:t>
            </w:r>
          </w:p>
        </w:tc>
        <w:tc>
          <w:tcPr>
            <w:tcW w:type="dxa" w:w="508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t>Childcare registration</w:t>
            </w:r>
          </w:p>
        </w:tc>
      </w:tr>
      <w:tr>
        <w:tc>
          <w:tcPr>
            <w:tcW w:type="dxa" w:w="508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t>Job vacancy enquiry</w:t>
            </w:r>
          </w:p>
        </w:tc>
        <w:tc>
          <w:tcPr>
            <w:tcW w:type="dxa" w:w="508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t>Employment-agency consultation</w:t>
            </w:r>
          </w:p>
        </w:tc>
      </w:tr>
      <w:tr>
        <w:tc>
          <w:tcPr>
            <w:tcW w:type="dxa" w:w="508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t>Temporary/seasonal work</w:t>
            </w:r>
          </w:p>
        </w:tc>
        <w:tc>
          <w:tcPr>
            <w:tcW w:type="dxa" w:w="508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t>New-employee orientation</w:t>
            </w:r>
          </w:p>
        </w:tc>
      </w:tr>
      <w:tr>
        <w:tc>
          <w:tcPr>
            <w:tcW w:type="dxa" w:w="508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t>Customer/transport survey</w:t>
            </w:r>
          </w:p>
        </w:tc>
        <w:tc>
          <w:tcPr>
            <w:tcW w:type="dxa" w:w="508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t>Official incident/service report</w:t>
            </w:r>
          </w:p>
        </w:tc>
      </w:tr>
    </w:tbl>
    <w:p>
      <w:r>
        <w:rPr>
          <w:b/>
        </w:rPr>
        <w:t xml:space="preserve">Avoid topic collapse. </w:t>
      </w:r>
      <w:r>
        <w:t>A large practice bank should not become dozens of slightly different hotel bookings. The common feature is a realistic need to exchange practical information, not any one topic.</w:t>
      </w:r>
    </w:p>
    <w:p>
      <w:pPr>
        <w:pStyle w:val="Heading1"/>
        <w:keepNext/>
      </w:pPr>
      <w:r>
        <w:t>5. Question–answer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F4E79"/>
          </w:tcPr>
          <w:p>
            <w:r>
              <w:rPr>
                <w:color w:val="FFFFFF"/>
              </w:rPr>
              <w:t>Rule</w:t>
            </w:r>
          </w:p>
        </w:tc>
        <w:tc>
          <w:tcPr>
            <w:tcW w:type="dxa" w:w="5083"/>
            <w:shd w:fill="1F4E79"/>
          </w:tcPr>
          <w:p>
            <w:r>
              <w:rPr>
                <w:color w:val="FFFFFF"/>
              </w:rPr>
              <w:t>Generation guidance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10 answers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Plan ten answer-bearing facts before writing the full dialogue.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Strict order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The first occurrence of the final Q1 answer must precede Q2, and so on through Q10.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Natural spacing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 not use equal intervals. Most answers should have meaningful dialogue between them; occasional close pairs are normal.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Answer density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 useful script contains 10 correct answer facts plus relevant non-answer facts and a few distractors.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Task groups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Split the conversation at a natural question-task boundary; Q1–5 / Q6–10 is common but not mandatory.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Question types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Completion is especially common in Part 1, but mixed formats are valid.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Paraphrase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The audio should usually express the question concept in different everyday wording rather than repeating the worksheet verbatim.</w:t>
            </w:r>
          </w:p>
        </w:tc>
      </w:tr>
    </w:tbl>
    <w:p>
      <w:pPr>
        <w:pStyle w:val="Heading2"/>
      </w:pPr>
      <w:r>
        <w:t>Recommended answer spacing</w:t>
      </w:r>
    </w:p>
    <w:p>
      <w:r>
        <w:rPr>
          <w:b/>
        </w:rPr>
        <w:t xml:space="preserve">Do not hard-code a word gap. </w:t>
      </w:r>
      <w:r>
        <w:t>As a planning heuristic, many answer events can be separated by roughly 30–80 spoken words, with occasional closer pairs (for example, date + time or name + spelling) and occasional longer stretches. Avoid three or four answer tokens in one rapid list.</w:t>
      </w:r>
    </w:p>
    <w:p>
      <w:pPr>
        <w:pStyle w:val="Heading2"/>
      </w:pPr>
      <w:r>
        <w:t>Question-group transition</w:t>
      </w:r>
    </w:p>
    <w:p>
      <w:r>
        <w:rPr>
          <w:b/>
        </w:rPr>
        <w:t xml:space="preserve">Do not hard-code the break after Question 5. </w:t>
      </w:r>
      <w:r>
        <w:t>Recent Cambridge material includes 4/6 and 6/4 splits. The break should follow the task layout or a genuine topic shift. For a simple first implementation, 5/5 is a good default, but the data model should allow other split points.</w:t>
      </w:r>
    </w:p>
    <w:p>
      <w:pPr>
        <w:pStyle w:val="Heading1"/>
        <w:keepNext/>
      </w:pPr>
      <w:r>
        <w:t>6. Dialogue realism and difficulty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2F5597"/>
          </w:tcPr>
          <w:p>
            <w:r>
              <w:rPr>
                <w:color w:val="FFFFFF"/>
              </w:rPr>
              <w:t>Feature</w:t>
            </w:r>
          </w:p>
        </w:tc>
        <w:tc>
          <w:tcPr>
            <w:tcW w:type="dxa" w:w="5083"/>
            <w:shd w:fill="2F5597"/>
          </w:tcPr>
          <w:p>
            <w:r>
              <w:rPr>
                <w:color w:val="FFFFFF"/>
              </w:rPr>
              <w:t>Recommended use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Distractors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Use about 2–4 meaningful distractor events. Prefer old vs current information, first suggestion vs final choice, approximate vs exact price, or unsuitable alternative.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Corrections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0–2 explicit corrections/revisions is enough. Do not make every answer depend on a correction.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Clarification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0–2 clarification/repetition moments, especially for names, numbers or unfamiliar terms.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Spelling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0–2 events; usually 0 or 1. Suitable for surname, street or organisation name.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Fillers/hesitation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Use lightly and naturally (e.g. well, right, actually, um). Do not insert them mechanically.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Interruptions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Rare. One light interruption can sound natural; avoid overlapping speech that harms intelligibility.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Paraphrase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Frequent and moderate. Avoid obscure synonyms or academic wording.</w:t>
            </w:r>
          </w:p>
        </w:tc>
      </w:tr>
    </w:tbl>
    <w:p>
      <w:r>
        <w:rPr>
          <w:b/>
        </w:rPr>
        <w:t xml:space="preserve">Part 1 difficulty should come from listening, not trickery. </w:t>
      </w:r>
      <w:r>
        <w:t>Use familiar topics, everyday vocabulary, short-to-medium sentences, clear reference tracking, moderate paraphrase and local distractors. Avoid technical vocabulary, dense academic explanations, long monologues and strings of confusing numbers.</w:t>
      </w:r>
    </w:p>
    <w:p>
      <w:pPr>
        <w:pStyle w:val="Heading1"/>
        <w:keepNext/>
      </w:pPr>
      <w:r>
        <w:t>7. Accent, pronunciation and special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F4E79"/>
          </w:tcPr>
          <w:p>
            <w:r>
              <w:rPr>
                <w:color w:val="FFFFFF"/>
              </w:rPr>
              <w:t>Item</w:t>
            </w:r>
          </w:p>
        </w:tc>
        <w:tc>
          <w:tcPr>
            <w:tcW w:type="dxa" w:w="5083"/>
            <w:shd w:fill="1F4E79"/>
          </w:tcPr>
          <w:p>
            <w:r>
              <w:rPr>
                <w:color w:val="FFFFFF"/>
              </w:rPr>
              <w:t>Audio guidance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Accent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Use clear standard varieties compatible with IELTS: British, Australian, New Zealand, North American; the two speakers may differ.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Natural speech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Contractions, linking and normal reductions are desirable. Avoid over-enunciation and accent caricature.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Names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Speak naturally; if a name is unfamiliar, a spelling or confirmation exchange may follow.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Phone numbers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Group digits naturally. Repeated digits may use forms such as “double”.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Prices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Speak normal currency forms; an approximate price can be corrected by an exact one.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Dates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Use ordinary spoken forms such as “the thirteenth of January” or “January the thirteenth”.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Times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Use normal forms such as “eight thirty”, “half past eight”, “quarter to nine”.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Postcodes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Say letters clearly and in logical chunks.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Abbreviations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Initialisms can be spoken letter by letter when that is how people normally say them.</w:t>
            </w:r>
          </w:p>
        </w:tc>
      </w:tr>
    </w:tbl>
    <w:p>
      <w:pPr>
        <w:pStyle w:val="Heading1"/>
        <w:keepNext/>
      </w:pPr>
      <w:r>
        <w:t>8. Audio production: simplified rules</w:t>
      </w:r>
    </w:p>
    <w:p>
      <w:r>
        <w:rPr>
          <w:b/>
          <w:color w:val="C0504D"/>
        </w:rPr>
        <w:t>Key decision: do not generate millisecond-level pause instructions.</w:t>
      </w:r>
    </w:p>
    <w:p>
      <w:pPr>
        <w:pStyle w:val="CompactBullet"/>
      </w:pPr>
      <w:r>
        <w:rPr>
          <w:b/>
        </w:rPr>
        <w:t xml:space="preserve">• </w:t>
      </w:r>
      <w:r>
        <w:t>Let the TTS voice handle normal punctuation, phrasing, breaths and speaker-turn rhythm.</w:t>
      </w:r>
    </w:p>
    <w:p>
      <w:pPr>
        <w:pStyle w:val="CompactBullet"/>
      </w:pPr>
      <w:r>
        <w:rPr>
          <w:b/>
        </w:rPr>
        <w:t xml:space="preserve">• </w:t>
      </w:r>
      <w:r>
        <w:t>Control the overall delivery mainly through voice selection and a target pace around 135–145 WPM.</w:t>
      </w:r>
    </w:p>
    <w:p>
      <w:pPr>
        <w:pStyle w:val="CompactBullet"/>
      </w:pPr>
      <w:r>
        <w:rPr>
          <w:b/>
        </w:rPr>
        <w:t xml:space="preserve">• </w:t>
      </w:r>
      <w:r>
        <w:t>Do not add extra silence before or after a correct answer just because it is testable.</w:t>
      </w:r>
    </w:p>
    <w:p>
      <w:pPr>
        <w:pStyle w:val="CompactBullet"/>
      </w:pPr>
      <w:r>
        <w:rPr>
          <w:b/>
        </w:rPr>
        <w:t xml:space="preserve">• </w:t>
      </w:r>
      <w:r>
        <w:t>Names, spellings and long number sequences may naturally be spoken a little more carefully, but should not sound highlighted.</w:t>
      </w:r>
    </w:p>
    <w:p>
      <w:pPr>
        <w:pStyle w:val="CompactBullet"/>
      </w:pPr>
      <w:r>
        <w:rPr>
          <w:b/>
        </w:rPr>
        <w:t xml:space="preserve">• </w:t>
      </w:r>
      <w:r>
        <w:t>If separate speaker audio clips are concatenated, use the TTS output as the primary rhythm; only correct obviously abrupt joins if necessary.</w:t>
      </w:r>
    </w:p>
    <w:p>
      <w:pPr>
        <w:pStyle w:val="Heading2"/>
      </w:pPr>
      <w:r>
        <w:t>What belongs outside the conversation</w:t>
      </w:r>
    </w:p>
    <w:p>
      <w:r>
        <w:t>Exam instructions and candidate reading/checking time are not part of Speaker A/B dialogue. They should be controlled by the test player or orchestration layer.</w:t>
      </w:r>
    </w:p>
    <w:p>
      <w:pPr>
        <w:pStyle w:val="CompactBullet"/>
      </w:pPr>
      <w:r>
        <w:rPr>
          <w:b/>
        </w:rPr>
        <w:t xml:space="preserve">• </w:t>
      </w:r>
      <w:r>
        <w:t>Part introduction</w:t>
      </w:r>
    </w:p>
    <w:p>
      <w:pPr>
        <w:pStyle w:val="CompactBullet"/>
      </w:pPr>
      <w:r>
        <w:rPr>
          <w:b/>
        </w:rPr>
        <w:t xml:space="preserve">• </w:t>
      </w:r>
      <w:r>
        <w:t>Time to inspect the first question group</w:t>
      </w:r>
    </w:p>
    <w:p>
      <w:pPr>
        <w:pStyle w:val="CompactBullet"/>
      </w:pPr>
      <w:r>
        <w:rPr>
          <w:b/>
        </w:rPr>
        <w:t xml:space="preserve">• </w:t>
      </w:r>
      <w:r>
        <w:t>Mid-Part instruction such as “Now look at Questions …”</w:t>
      </w:r>
    </w:p>
    <w:p>
      <w:pPr>
        <w:pStyle w:val="CompactBullet"/>
      </w:pPr>
      <w:r>
        <w:rPr>
          <w:b/>
        </w:rPr>
        <w:t xml:space="preserve">• </w:t>
      </w:r>
      <w:r>
        <w:t>Time to inspect the second question group</w:t>
      </w:r>
    </w:p>
    <w:p>
      <w:pPr>
        <w:pStyle w:val="CompactBullet"/>
      </w:pPr>
      <w:r>
        <w:rPr>
          <w:b/>
        </w:rPr>
        <w:t xml:space="preserve">• </w:t>
      </w:r>
      <w:r>
        <w:t>End-of-part checking instruction/time</w:t>
      </w:r>
    </w:p>
    <w:p>
      <w:r>
        <w:rPr>
          <w:b/>
        </w:rPr>
        <w:t xml:space="preserve">Timing recommendation: </w:t>
      </w:r>
      <w:r>
        <w:t>keep these durations configurable in the product rather than embedding fixed values into every generated script. If the goal is exact exam simulation, calibrate the player against the specific official/practice-test delivery format being emulated.</w:t>
      </w:r>
    </w:p>
    <w:p>
      <w:pPr>
        <w:pStyle w:val="Heading1"/>
        <w:keepNext/>
      </w:pPr>
      <w:r>
        <w:t>9. Recommended system layers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2F5597"/>
          </w:tcPr>
          <w:p>
            <w:r>
              <w:rPr>
                <w:color w:val="FFFFFF"/>
              </w:rPr>
              <w:t>Layer</w:t>
            </w:r>
          </w:p>
        </w:tc>
        <w:tc>
          <w:tcPr>
            <w:tcW w:type="dxa" w:w="5083"/>
            <w:shd w:fill="2F5597"/>
          </w:tcPr>
          <w:p>
            <w:r>
              <w:rPr>
                <w:color w:val="FFFFFF"/>
              </w:rPr>
              <w:t>Responsibility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Layer A — Exam instructions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Narrator text only: introduction, first-group instruction, mid-Part transition, end instruction.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Layer B — Conversation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Speaker A/B dialogue only. This is the main script-generation asset.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Layer C — Audio metadata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Voice IDs, accents, target pace, pronunciation overrides, optional spelling/number hints.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Layer D — Question/evidence data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Canonical answers, acceptable variants, evidence turn, distractors, correction chain, information type, paraphrase target.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Layer E — Test orchestration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Question groups, narrator insertion points, reading/checking intervals, playback sequence.</w:t>
            </w:r>
          </w:p>
        </w:tc>
      </w:tr>
    </w:tbl>
    <w:p>
      <w:r>
        <w:rPr>
          <w:b/>
        </w:rPr>
        <w:t xml:space="preserve">Why five layers? </w:t>
      </w:r>
      <w:r>
        <w:t>This prevents narrator instructions, TTS behavior and question metadata from contaminating the actual dialogue. It also lets the same approved conversation be reused with different test-player timing.</w:t>
      </w:r>
    </w:p>
    <w:p>
      <w:pPr>
        <w:pStyle w:val="Heading1"/>
        <w:keepNext/>
      </w:pPr>
      <w:r>
        <w:t>10. Generation-ready parameter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F4E79"/>
          </w:tcPr>
          <w:p>
            <w:r>
              <w:rPr>
                <w:color w:val="FFFFFF"/>
              </w:rPr>
              <w:t>Parameter</w:t>
            </w:r>
          </w:p>
        </w:tc>
        <w:tc>
          <w:tcPr>
            <w:tcW w:type="dxa" w:w="5083"/>
            <w:shd w:fill="1F4E79"/>
          </w:tcPr>
          <w:p>
            <w:r>
              <w:rPr>
                <w:color w:val="FFFFFF"/>
              </w:rPr>
              <w:t>Specification</w:t>
            </w:r>
          </w:p>
        </w:tc>
      </w:tr>
      <w:tr>
        <w:tc>
          <w:tcPr>
            <w:tcW w:type="dxa" w:w="508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Speakers</w:t>
            </w:r>
          </w:p>
        </w:tc>
        <w:tc>
          <w:tcPr>
            <w:tcW w:type="dxa" w:w="508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Exactly 2</w:t>
            </w:r>
          </w:p>
        </w:tc>
      </w:tr>
      <w:tr>
        <w:tc>
          <w:tcPr>
            <w:tcW w:type="dxa" w:w="508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Context</w:t>
            </w:r>
          </w:p>
        </w:tc>
        <w:tc>
          <w:tcPr>
            <w:tcW w:type="dxa" w:w="508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Everyday practical/social</w:t>
            </w:r>
          </w:p>
        </w:tc>
      </w:tr>
      <w:tr>
        <w:tc>
          <w:tcPr>
            <w:tcW w:type="dxa" w:w="508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Conversation</w:t>
            </w:r>
          </w:p>
        </w:tc>
        <w:tc>
          <w:tcPr>
            <w:tcW w:type="dxa" w:w="508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One coherent scenario</w:t>
            </w:r>
          </w:p>
        </w:tc>
      </w:tr>
      <w:tr>
        <w:tc>
          <w:tcPr>
            <w:tcW w:type="dxa" w:w="508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Target word count</w:t>
            </w:r>
          </w:p>
        </w:tc>
        <w:tc>
          <w:tcPr>
            <w:tcW w:type="dxa" w:w="508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650–720; preferred range 600–760</w:t>
            </w:r>
          </w:p>
        </w:tc>
      </w:tr>
      <w:tr>
        <w:tc>
          <w:tcPr>
            <w:tcW w:type="dxa" w:w="508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Target duration</w:t>
            </w:r>
          </w:p>
        </w:tc>
        <w:tc>
          <w:tcPr>
            <w:tcW w:type="dxa" w:w="508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About 4:45–5:30 dialogue only</w:t>
            </w:r>
          </w:p>
        </w:tc>
      </w:tr>
      <w:tr>
        <w:tc>
          <w:tcPr>
            <w:tcW w:type="dxa" w:w="508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Target pace</w:t>
            </w:r>
          </w:p>
        </w:tc>
        <w:tc>
          <w:tcPr>
            <w:tcW w:type="dxa" w:w="508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About 135–145 WPM</w:t>
            </w:r>
          </w:p>
        </w:tc>
      </w:tr>
      <w:tr>
        <w:tc>
          <w:tcPr>
            <w:tcW w:type="dxa" w:w="508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Dialogue turns</w:t>
            </w:r>
          </w:p>
        </w:tc>
        <w:tc>
          <w:tcPr>
            <w:tcW w:type="dxa" w:w="508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About 38–44; preferred 34–48</w:t>
            </w:r>
          </w:p>
        </w:tc>
      </w:tr>
      <w:tr>
        <w:tc>
          <w:tcPr>
            <w:tcW w:type="dxa" w:w="508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Vocabulary</w:t>
            </w:r>
          </w:p>
        </w:tc>
        <w:tc>
          <w:tcPr>
            <w:tcW w:type="dxa" w:w="508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Everyday, roughly B1–B2-like conversational range; low academic density</w:t>
            </w:r>
          </w:p>
        </w:tc>
      </w:tr>
      <w:tr>
        <w:tc>
          <w:tcPr>
            <w:tcW w:type="dxa" w:w="508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Grammar</w:t>
            </w:r>
          </w:p>
        </w:tc>
        <w:tc>
          <w:tcPr>
            <w:tcW w:type="dxa" w:w="508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Mostly simple/compound + ordinary subordinate clauses</w:t>
            </w:r>
          </w:p>
        </w:tc>
      </w:tr>
      <w:tr>
        <w:tc>
          <w:tcPr>
            <w:tcW w:type="dxa" w:w="508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Speaker balance</w:t>
            </w:r>
          </w:p>
        </w:tc>
        <w:tc>
          <w:tcPr>
            <w:tcW w:type="dxa" w:w="508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Near-balanced for peers; service expert can speak more</w:t>
            </w:r>
          </w:p>
        </w:tc>
      </w:tr>
      <w:tr>
        <w:tc>
          <w:tcPr>
            <w:tcW w:type="dxa" w:w="508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Accents</w:t>
            </w:r>
          </w:p>
        </w:tc>
        <w:tc>
          <w:tcPr>
            <w:tcW w:type="dxa" w:w="508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Clear IELTS-compatible standard varieties; same or different</w:t>
            </w:r>
          </w:p>
        </w:tc>
      </w:tr>
      <w:tr>
        <w:tc>
          <w:tcPr>
            <w:tcW w:type="dxa" w:w="508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Question count</w:t>
            </w:r>
          </w:p>
        </w:tc>
        <w:tc>
          <w:tcPr>
            <w:tcW w:type="dxa" w:w="508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10</w:t>
            </w:r>
          </w:p>
        </w:tc>
      </w:tr>
      <w:tr>
        <w:tc>
          <w:tcPr>
            <w:tcW w:type="dxa" w:w="508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Answer order</w:t>
            </w:r>
          </w:p>
        </w:tc>
        <w:tc>
          <w:tcPr>
            <w:tcW w:type="dxa" w:w="508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Strict Q1 → Q10</w:t>
            </w:r>
          </w:p>
        </w:tc>
      </w:tr>
      <w:tr>
        <w:tc>
          <w:tcPr>
            <w:tcW w:type="dxa" w:w="508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Task-group split</w:t>
            </w:r>
          </w:p>
        </w:tc>
        <w:tc>
          <w:tcPr>
            <w:tcW w:type="dxa" w:w="508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Usually 2 groups; 5/5 default but 4/6 or 6/4 allowed</w:t>
            </w:r>
          </w:p>
        </w:tc>
      </w:tr>
      <w:tr>
        <w:tc>
          <w:tcPr>
            <w:tcW w:type="dxa" w:w="508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Question styles</w:t>
            </w:r>
          </w:p>
        </w:tc>
        <w:tc>
          <w:tcPr>
            <w:tcW w:type="dxa" w:w="508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Completion strongly preferred; mixed formats allowed</w:t>
            </w:r>
          </w:p>
        </w:tc>
      </w:tr>
      <w:tr>
        <w:tc>
          <w:tcPr>
            <w:tcW w:type="dxa" w:w="508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Distractors</w:t>
            </w:r>
          </w:p>
        </w:tc>
        <w:tc>
          <w:tcPr>
            <w:tcW w:type="dxa" w:w="508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2–4 meaningful events</w:t>
            </w:r>
          </w:p>
        </w:tc>
      </w:tr>
      <w:tr>
        <w:tc>
          <w:tcPr>
            <w:tcW w:type="dxa" w:w="508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Corrections</w:t>
            </w:r>
          </w:p>
        </w:tc>
        <w:tc>
          <w:tcPr>
            <w:tcW w:type="dxa" w:w="508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0–2</w:t>
            </w:r>
          </w:p>
        </w:tc>
      </w:tr>
      <w:tr>
        <w:tc>
          <w:tcPr>
            <w:tcW w:type="dxa" w:w="508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Clarifications</w:t>
            </w:r>
          </w:p>
        </w:tc>
        <w:tc>
          <w:tcPr>
            <w:tcW w:type="dxa" w:w="508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0–2</w:t>
            </w:r>
          </w:p>
        </w:tc>
      </w:tr>
      <w:tr>
        <w:tc>
          <w:tcPr>
            <w:tcW w:type="dxa" w:w="508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Spelling</w:t>
            </w:r>
          </w:p>
        </w:tc>
        <w:tc>
          <w:tcPr>
            <w:tcW w:type="dxa" w:w="508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0–2; usually 0–1</w:t>
            </w:r>
          </w:p>
        </w:tc>
      </w:tr>
      <w:tr>
        <w:tc>
          <w:tcPr>
            <w:tcW w:type="dxa" w:w="508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Answer spacing</w:t>
            </w:r>
          </w:p>
        </w:tc>
        <w:tc>
          <w:tcPr>
            <w:tcW w:type="dxa" w:w="508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Irregular; usually meaningful dialogue between answers</w:t>
            </w:r>
          </w:p>
        </w:tc>
      </w:tr>
      <w:tr>
        <w:tc>
          <w:tcPr>
            <w:tcW w:type="dxa" w:w="508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Opening</w:t>
            </w:r>
          </w:p>
        </w:tc>
        <w:tc>
          <w:tcPr>
            <w:tcW w:type="dxa" w:w="508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Purpose established within 2–5 turns</w:t>
            </w:r>
          </w:p>
        </w:tc>
      </w:tr>
      <w:tr>
        <w:tc>
          <w:tcPr>
            <w:tcW w:type="dxa" w:w="508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Ending</w:t>
            </w:r>
          </w:p>
        </w:tc>
        <w:tc>
          <w:tcPr>
            <w:tcW w:type="dxa" w:w="508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1–4 practical closing turns</w:t>
            </w:r>
          </w:p>
        </w:tc>
      </w:tr>
      <w:tr>
        <w:tc>
          <w:tcPr>
            <w:tcW w:type="dxa" w:w="508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Normal pauses</w:t>
            </w:r>
          </w:p>
        </w:tc>
        <w:tc>
          <w:tcPr>
            <w:tcW w:type="dxa" w:w="508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Handled by TTS naturally; do not script milliseconds</w:t>
            </w:r>
          </w:p>
        </w:tc>
      </w:tr>
      <w:tr>
        <w:tc>
          <w:tcPr>
            <w:tcW w:type="dxa" w:w="508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Exam-reading pauses</w:t>
            </w:r>
          </w:p>
        </w:tc>
        <w:tc>
          <w:tcPr>
            <w:tcW w:type="dxa" w:w="508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Separate orchestration layer; configurable</w:t>
            </w:r>
          </w:p>
        </w:tc>
      </w:tr>
      <w:tr>
        <w:tc>
          <w:tcPr>
            <w:tcW w:type="dxa" w:w="508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Answer emphasis</w:t>
            </w:r>
          </w:p>
        </w:tc>
        <w:tc>
          <w:tcPr>
            <w:tcW w:type="dxa" w:w="508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None</w:t>
            </w:r>
          </w:p>
        </w:tc>
      </w:tr>
    </w:tbl>
    <w:p>
      <w:pPr>
        <w:pStyle w:val="Heading1"/>
        <w:keepNext/>
      </w:pPr>
      <w:r>
        <w:t>11. Validation checklist</w:t>
      </w:r>
    </w:p>
    <w:p>
      <w:pPr>
        <w:pStyle w:val="CompactBullet"/>
      </w:pPr>
      <w:r>
        <w:rPr>
          <w:b/>
        </w:rPr>
        <w:t xml:space="preserve">☐ </w:t>
      </w:r>
      <w:r>
        <w:t>Exactly two conversational speakers.</w:t>
      </w:r>
    </w:p>
    <w:p>
      <w:pPr>
        <w:pStyle w:val="CompactBullet"/>
      </w:pPr>
      <w:r>
        <w:rPr>
          <w:b/>
        </w:rPr>
        <w:t xml:space="preserve">☐ </w:t>
      </w:r>
      <w:r>
        <w:t>Everyday social/practical scenario with a believable reason to exchange information.</w:t>
      </w:r>
    </w:p>
    <w:p>
      <w:pPr>
        <w:pStyle w:val="CompactBullet"/>
      </w:pPr>
      <w:r>
        <w:rPr>
          <w:b/>
        </w:rPr>
        <w:t xml:space="preserve">☐ </w:t>
      </w:r>
      <w:r>
        <w:t>Ten planned answer-bearing facts.</w:t>
      </w:r>
    </w:p>
    <w:p>
      <w:pPr>
        <w:pStyle w:val="CompactBullet"/>
      </w:pPr>
      <w:r>
        <w:rPr>
          <w:b/>
        </w:rPr>
        <w:t xml:space="preserve">☐ </w:t>
      </w:r>
      <w:r>
        <w:t>Answers appear strictly in Q1–Q10 order.</w:t>
      </w:r>
    </w:p>
    <w:p>
      <w:pPr>
        <w:pStyle w:val="CompactBullet"/>
      </w:pPr>
      <w:r>
        <w:rPr>
          <w:b/>
        </w:rPr>
        <w:t xml:space="preserve">☐ </w:t>
      </w:r>
      <w:r>
        <w:t>Every final answer is unambiguous.</w:t>
      </w:r>
    </w:p>
    <w:p>
      <w:pPr>
        <w:pStyle w:val="CompactBullet"/>
      </w:pPr>
      <w:r>
        <w:rPr>
          <w:b/>
        </w:rPr>
        <w:t xml:space="preserve">☐ </w:t>
      </w:r>
      <w:r>
        <w:t>Distractors are plausible and locally resolvable.</w:t>
      </w:r>
    </w:p>
    <w:p>
      <w:pPr>
        <w:pStyle w:val="CompactBullet"/>
      </w:pPr>
      <w:r>
        <w:rPr>
          <w:b/>
        </w:rPr>
        <w:t xml:space="preserve">☐ </w:t>
      </w:r>
      <w:r>
        <w:t>Conversation contains non-answer information so every noun/number is not obviously testable.</w:t>
      </w:r>
    </w:p>
    <w:p>
      <w:pPr>
        <w:pStyle w:val="CompactBullet"/>
      </w:pPr>
      <w:r>
        <w:rPr>
          <w:b/>
        </w:rPr>
        <w:t xml:space="preserve">☐ </w:t>
      </w:r>
      <w:r>
        <w:t>Question wording can be naturally paraphrased from the audio.</w:t>
      </w:r>
    </w:p>
    <w:p>
      <w:pPr>
        <w:pStyle w:val="CompactBullet"/>
      </w:pPr>
      <w:r>
        <w:rPr>
          <w:b/>
        </w:rPr>
        <w:t xml:space="preserve">☐ </w:t>
      </w:r>
      <w:r>
        <w:t>Dialogue does not sound like ten exam questions followed by ten answers.</w:t>
      </w:r>
    </w:p>
    <w:p>
      <w:pPr>
        <w:pStyle w:val="CompactBullet"/>
      </w:pPr>
      <w:r>
        <w:rPr>
          <w:b/>
        </w:rPr>
        <w:t xml:space="preserve">☐ </w:t>
      </w:r>
      <w:r>
        <w:t>No long Part 2-style monologue.</w:t>
      </w:r>
    </w:p>
    <w:p>
      <w:pPr>
        <w:pStyle w:val="CompactBullet"/>
      </w:pPr>
      <w:r>
        <w:rPr>
          <w:b/>
        </w:rPr>
        <w:t xml:space="preserve">☐ </w:t>
      </w:r>
      <w:r>
        <w:t>Word count, turn count and pace are inside the intended range.</w:t>
      </w:r>
    </w:p>
    <w:p>
      <w:pPr>
        <w:pStyle w:val="CompactBullet"/>
      </w:pPr>
      <w:r>
        <w:rPr>
          <w:b/>
        </w:rPr>
        <w:t xml:space="preserve">☐ </w:t>
      </w:r>
      <w:r>
        <w:t>Names/numbers that need special pronunciation are annotated in metadata, not awkwardly rewritten in dialogue.</w:t>
      </w:r>
    </w:p>
    <w:p>
      <w:pPr>
        <w:pStyle w:val="CompactBullet"/>
      </w:pPr>
      <w:r>
        <w:rPr>
          <w:b/>
        </w:rPr>
        <w:t xml:space="preserve">☐ </w:t>
      </w:r>
      <w:r>
        <w:t>Correct answers are not acoustically highlighted.</w:t>
      </w:r>
    </w:p>
    <w:p>
      <w:pPr>
        <w:pStyle w:val="CompactBullet"/>
      </w:pPr>
      <w:r>
        <w:rPr>
          <w:b/>
        </w:rPr>
        <w:t xml:space="preserve">☐ </w:t>
      </w:r>
      <w:r>
        <w:t>Narrator instructions are absent from the Speaker A/B transcript.</w:t>
      </w:r>
    </w:p>
    <w:p>
      <w:pPr>
        <w:pStyle w:val="CompactBullet"/>
      </w:pPr>
      <w:r>
        <w:rPr>
          <w:b/>
        </w:rPr>
        <w:t xml:space="preserve">☐ </w:t>
      </w:r>
      <w:r>
        <w:t>Question-group break occurs at a sensible task or topic boundary.</w:t>
      </w:r>
    </w:p>
    <w:p>
      <w:pPr>
        <w:pStyle w:val="CompactBullet"/>
      </w:pPr>
      <w:r>
        <w:rPr>
          <w:b/>
        </w:rPr>
        <w:t xml:space="preserve">☐ </w:t>
      </w:r>
      <w:r>
        <w:t>Script wording, names, organisations and numbers are original.</w:t>
      </w:r>
    </w:p>
    <w:p>
      <w:r>
        <w:br w:type="page"/>
      </w:r>
    </w:p>
    <w:p>
      <w:pPr>
        <w:pStyle w:val="Heading1"/>
        <w:keepNext/>
      </w:pPr>
      <w:r>
        <w:t>Appendix A. Corpus reviewed: 56 Cambridge Part 1 examples</w:t>
      </w:r>
    </w:p>
    <w:p>
      <w:r>
        <w:t>The corpus below was used primarily to derive topic/scenario patterns, speaker relationships and structural tendencies. It is included for traceability but is intentionally kept out of the main generation rules.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44546A"/>
          </w:tcPr>
          <w:p>
            <w:r>
              <w:rPr>
                <w:color w:val="FFFFFF"/>
              </w:rPr>
              <w:t>Test</w:t>
            </w:r>
          </w:p>
        </w:tc>
        <w:tc>
          <w:tcPr>
            <w:tcW w:type="dxa" w:w="2541"/>
            <w:shd w:fill="44546A"/>
          </w:tcPr>
          <w:p>
            <w:r>
              <w:rPr>
                <w:color w:val="FFFFFF"/>
              </w:rPr>
              <w:t>Part 1 topic</w:t>
            </w:r>
          </w:p>
        </w:tc>
        <w:tc>
          <w:tcPr>
            <w:tcW w:type="dxa" w:w="2541"/>
            <w:shd w:fill="44546A"/>
          </w:tcPr>
          <w:p>
            <w:r>
              <w:rPr>
                <w:color w:val="FFFFFF"/>
              </w:rPr>
              <w:t>Scenario type</w:t>
            </w:r>
          </w:p>
        </w:tc>
        <w:tc>
          <w:tcPr>
            <w:tcW w:type="dxa" w:w="2541"/>
            <w:shd w:fill="44546A"/>
          </w:tcPr>
          <w:p>
            <w:r>
              <w:rPr>
                <w:color w:val="FFFFFF"/>
              </w:rPr>
              <w:t>Speaker relationship</w:t>
            </w:r>
          </w:p>
        </w:tc>
      </w:tr>
      <w:tr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C8 T1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Summer music festival planning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Advice/planning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Friends</w:t>
            </w:r>
          </w:p>
        </w:tc>
      </w:tr>
      <w:tr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C8 T2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Insurance incident report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Report/claim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Customer–insurance staff</w:t>
            </w:r>
          </w:p>
        </w:tc>
      </w:tr>
      <w:tr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C8 T3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Renting a shared house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Rental enquiry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Renter–letting agent</w:t>
            </w:r>
          </w:p>
        </w:tc>
      </w:tr>
      <w:tr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C8 T4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West Bay Hotel temporary work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Job enquiry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Job seeker–hotel staff</w:t>
            </w:r>
          </w:p>
        </w:tc>
      </w:tr>
      <w:tr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C9 T1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Restaurant job vacancy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Job enquiry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Applicant–restaurant staff</w:t>
            </w:r>
          </w:p>
        </w:tc>
      </w:tr>
      <w:tr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C9 T2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University accommodation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Registration/enquiry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Student–accommodation officer</w:t>
            </w:r>
          </w:p>
        </w:tc>
      </w:tr>
      <w:tr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C9 T3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Greek island holidays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Travel enquiry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Customer–travel agent</w:t>
            </w:r>
          </w:p>
        </w:tc>
      </w:tr>
      <w:tr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C9 T4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Registering with local health centres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Registration/service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Resident–health-centre staff</w:t>
            </w:r>
          </w:p>
        </w:tc>
      </w:tr>
      <w:tr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C10 T1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Self-drive tours in the USA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Travel enquiry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Customer–travel agent</w:t>
            </w:r>
          </w:p>
        </w:tc>
      </w:tr>
      <w:tr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C10 T2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Local transport survey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Survey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Interviewer–resident</w:t>
            </w:r>
          </w:p>
        </w:tc>
      </w:tr>
      <w:tr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C10 T3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Childcare centre enrolment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Registration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Parent–centre staff</w:t>
            </w:r>
          </w:p>
        </w:tc>
      </w:tr>
      <w:tr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C10 T4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Painting/repair work in a flat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Service enquiry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Customer–tradesperson</w:t>
            </w:r>
          </w:p>
        </w:tc>
      </w:tr>
      <w:tr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C11 T1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Hiring a village-hall room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Venue hire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Customer–hall official</w:t>
            </w:r>
          </w:p>
        </w:tc>
      </w:tr>
      <w:tr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C11 T2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Youth Council candidacy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Application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Applicant–administrator</w:t>
            </w:r>
          </w:p>
        </w:tc>
      </w:tr>
      <w:tr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C11 T3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Free activities in Burnham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Tourist enquiry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Visitor–tourist information staff</w:t>
            </w:r>
          </w:p>
        </w:tc>
      </w:tr>
      <w:tr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C11 T4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Stretton Festival events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Event enquiry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Visitor–box office staff</w:t>
            </w:r>
          </w:p>
        </w:tc>
      </w:tr>
      <w:tr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C12 T1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Family tourist excursions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Tourist enquiry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Visitor–tourist-centre staff</w:t>
            </w:r>
          </w:p>
        </w:tc>
      </w:tr>
      <w:tr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C12 T2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Kenton Festival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Event enquiry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Visitor–box office staff</w:t>
            </w:r>
          </w:p>
        </w:tc>
      </w:tr>
      <w:tr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C12 T3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Joining/using a library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Membership advice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Friends; one works there</w:t>
            </w:r>
          </w:p>
        </w:tc>
      </w:tr>
      <w:tr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C12 T4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Leading cycling holidays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Job application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Applicant–company staff</w:t>
            </w:r>
          </w:p>
        </w:tc>
      </w:tr>
      <w:tr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C13 T1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Comparing cookery classes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Recommendation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Peers/acquaintances</w:t>
            </w:r>
          </w:p>
        </w:tc>
      </w:tr>
      <w:tr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C13 T2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South City Cycling Club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Membership enquiry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Prospective member–club staff</w:t>
            </w:r>
          </w:p>
        </w:tc>
      </w:tr>
      <w:tr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C13 T3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Moving to Banford City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Relocation advice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Friends/acquaintances</w:t>
            </w:r>
          </w:p>
        </w:tc>
      </w:tr>
      <w:tr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C13 T4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JPNW training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Application/training advice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Applicant–former trainee</w:t>
            </w:r>
          </w:p>
        </w:tc>
      </w:tr>
      <w:tr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C14 T1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Theft/crime report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Official report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Victim–police officer</w:t>
            </w:r>
          </w:p>
        </w:tc>
      </w:tr>
      <w:tr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C14 T2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Accommodation application/preferences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Registration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Applicant–accommodation staff</w:t>
            </w:r>
          </w:p>
        </w:tc>
      </w:tr>
      <w:tr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C14 T3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Hotel/conference facilities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Event enquiry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Organizer–hotel staff</w:t>
            </w:r>
          </w:p>
        </w:tc>
      </w:tr>
      <w:tr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C14 T4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Anniversary celebration and hotel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Event/accommodation planning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Organizer–events manager</w:t>
            </w:r>
          </w:p>
        </w:tc>
      </w:tr>
      <w:tr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C15 T1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Advice about a job agency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Recommendation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Friends/acquaintances</w:t>
            </w:r>
          </w:p>
        </w:tc>
      </w:tr>
      <w:tr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C15 T2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Festival information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Visitor enquiry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Visitor–tourist information staff</w:t>
            </w:r>
          </w:p>
        </w:tc>
      </w:tr>
      <w:tr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C15 T3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Job-agency vacancies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Job enquiry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Job seeker–agency adviser</w:t>
            </w:r>
          </w:p>
        </w:tc>
      </w:tr>
      <w:tr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C15 T4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Train customer-satisfaction survey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Survey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Interviewer–passenger</w:t>
            </w:r>
          </w:p>
        </w:tc>
      </w:tr>
      <w:tr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C16 T1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Children’s engineering workshops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Activity enquiry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Parent–workshop staff</w:t>
            </w:r>
          </w:p>
        </w:tc>
      </w:tr>
      <w:tr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C16 T2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Photo/print service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Consumer-service enquiry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Customer–service staff</w:t>
            </w:r>
          </w:p>
        </w:tc>
      </w:tr>
      <w:tr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C16 T3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Junior Cycle Camp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Activity enquiry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Parent–camp staff</w:t>
            </w:r>
          </w:p>
        </w:tc>
      </w:tr>
      <w:tr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C16 T4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Holiday cottage rental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Accommodation booking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Renter–property owner</w:t>
            </w:r>
          </w:p>
        </w:tc>
      </w:tr>
      <w:tr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C17 T1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Conservation group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Membership enquiry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New resident–group secretary</w:t>
            </w:r>
          </w:p>
        </w:tc>
      </w:tr>
      <w:tr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C17 T2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Village volunteering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Volunteer enquiry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New resident–coordinator</w:t>
            </w:r>
          </w:p>
        </w:tc>
      </w:tr>
      <w:tr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C17 T3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Family surfing holiday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Travel advice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Friends</w:t>
            </w:r>
          </w:p>
        </w:tc>
      </w:tr>
      <w:tr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C17 T4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Cleaning a flat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Service enquiry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Customer–cleaning-company staff</w:t>
            </w:r>
          </w:p>
        </w:tc>
      </w:tr>
      <w:tr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C18 T1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Transport survey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Survey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Interviewer–resident</w:t>
            </w:r>
          </w:p>
        </w:tc>
      </w:tr>
      <w:tr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C18 T2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Restaurant vacancies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Job enquiry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Job seeker–employment adviser</w:t>
            </w:r>
          </w:p>
        </w:tc>
      </w:tr>
      <w:tr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C18 T3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Wayside Camera Club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Membership/application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Prospective member–club staff</w:t>
            </w:r>
          </w:p>
        </w:tc>
      </w:tr>
      <w:tr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C18 T4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Medical-centre receptionist vacancy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Job enquiry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Job seeker–employment agent</w:t>
            </w:r>
          </w:p>
        </w:tc>
      </w:tr>
      <w:tr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C19 T1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School visit to a country park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Visit planning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Teaching assistant–park ranger</w:t>
            </w:r>
          </w:p>
        </w:tc>
      </w:tr>
      <w:tr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C19 T2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Guitar classes/group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Recommendation/advice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Friends</w:t>
            </w:r>
          </w:p>
        </w:tc>
      </w:tr>
      <w:tr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C19 T3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New flat/local shopping and settling in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Relocation advice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Friends</w:t>
            </w:r>
          </w:p>
        </w:tc>
      </w:tr>
      <w:tr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C19 T4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First day at work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Workplace orientation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New employee–colleague/supervisor</w:t>
            </w:r>
          </w:p>
        </w:tc>
      </w:tr>
      <w:tr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C20 T1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Restaurants for a birthday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Recommendation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Friends</w:t>
            </w:r>
          </w:p>
        </w:tc>
      </w:tr>
      <w:tr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C20 T2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Support for an unpaid carer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Practical advice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Friends/former colleagues</w:t>
            </w:r>
          </w:p>
        </w:tc>
      </w:tr>
      <w:tr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C20 T3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Furniture-rental companies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Service comparison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Tenant–property contact</w:t>
            </w:r>
          </w:p>
        </w:tc>
      </w:tr>
      <w:tr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C20 T4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Activities for visiting relatives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Local/travel advice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Friends</w:t>
            </w:r>
          </w:p>
        </w:tc>
      </w:tr>
      <w:tr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C21 T1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Beginner sailing courses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Course enquiry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Caller–sailing-club staff</w:t>
            </w:r>
          </w:p>
        </w:tc>
      </w:tr>
      <w:tr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C21 T2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One-day college classes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Course registration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Prospective learner–staff</w:t>
            </w:r>
          </w:p>
        </w:tc>
      </w:tr>
      <w:tr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C21 T3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Ferry travel to Shetland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Travel advice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Friends</w:t>
            </w:r>
          </w:p>
        </w:tc>
      </w:tr>
      <w:tr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C21 T4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Town-centre shopping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Survey</w:t>
            </w:r>
          </w:p>
        </w:tc>
        <w:tc>
          <w:tcPr>
            <w:tcW w:type="dxa" w:w="2541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r>
              <w:rPr>
                <w:sz w:val="16"/>
              </w:rPr>
              <w:t>Interviewer–shopper</w:t>
            </w:r>
          </w:p>
        </w:tc>
      </w:tr>
    </w:tbl>
    <w:p>
      <w:pPr>
        <w:pStyle w:val="Heading1"/>
        <w:keepNext/>
      </w:pPr>
      <w:r>
        <w:t>Appendix B. Source basis</w:t>
      </w:r>
    </w:p>
    <w:p>
      <w:r>
        <w:t>Primary authority was given to official IELTS, British Council, IDP and Cambridge sources. Accessible third-party transcript reproductions were used only to observe Cambridge test scenarios and transcript patterns where official full transcripts were not publicly exposed.</w:t>
      </w:r>
    </w:p>
    <w:p>
      <w:r>
        <w:rPr>
          <w:b/>
        </w:rPr>
        <w:t xml:space="preserve">[1] Official IELTS — Academic Listening format: </w:t>
      </w:r>
      <w:hyperlink r:id="rId9">
        <w:r>
          <w:rPr>
            <w:color w:val="0563C1"/>
            <w:u w:val="single"/>
          </w:rPr>
          <w:t>https://ielts.org/take-a-test/test-types/ielts-academic-test/ielts-academic-format-listening</w:t>
        </w:r>
      </w:hyperlink>
    </w:p>
    <w:p>
      <w:r>
        <w:rPr>
          <w:b/>
        </w:rPr>
        <w:t xml:space="preserve">[2] Official IELTS — Listening sample tasks PDF: </w:t>
      </w:r>
      <w:hyperlink r:id="rId10">
        <w:r>
          <w:rPr>
            <w:color w:val="0563C1"/>
            <w:u w:val="single"/>
          </w:rPr>
          <w:t>https://ielts.org/cdn/ielts-sample-tests/ielts-listening-sample-tasks-2023.pdf</w:t>
        </w:r>
      </w:hyperlink>
    </w:p>
    <w:p>
      <w:r>
        <w:rPr>
          <w:b/>
        </w:rPr>
        <w:t xml:space="preserve">[3] British Council — Listening Part 1 teaching material: </w:t>
      </w:r>
      <w:hyperlink r:id="rId11">
        <w:r>
          <w:rPr>
            <w:color w:val="0563C1"/>
            <w:u w:val="single"/>
          </w:rPr>
          <w:t>https://takeielts.britishcouncil.org/sites/default/files/listening_part_1_matching_features_.pdf</w:t>
        </w:r>
      </w:hyperlink>
    </w:p>
    <w:p>
      <w:r>
        <w:rPr>
          <w:b/>
        </w:rPr>
        <w:t xml:space="preserve">[4] British Council — Free Listening practice, Section 1: </w:t>
      </w:r>
      <w:hyperlink r:id="rId12">
        <w:r>
          <w:rPr>
            <w:color w:val="0563C1"/>
            <w:u w:val="single"/>
          </w:rPr>
          <w:t>https://takeielts.britishcouncil.org/take-ielts/prepare/free-ielts-english-practice-tests/listening/section-1</w:t>
        </w:r>
      </w:hyperlink>
    </w:p>
    <w:p>
      <w:r>
        <w:rPr>
          <w:b/>
        </w:rPr>
        <w:t xml:space="preserve">[5] IDP — How to write numbers in IELTS: </w:t>
      </w:r>
      <w:hyperlink r:id="rId13">
        <w:r>
          <w:rPr>
            <w:color w:val="0563C1"/>
            <w:u w:val="single"/>
          </w:rPr>
          <w:t>https://ielts.idp.com/prepare/article-how-to-write-numbers-in-ielts</w:t>
        </w:r>
      </w:hyperlink>
    </w:p>
    <w:p>
      <w:r>
        <w:rPr>
          <w:b/>
        </w:rPr>
        <w:t xml:space="preserve">[6] Cambridge English — IELTS preparation/practice-test range: </w:t>
      </w:r>
      <w:hyperlink r:id="rId14">
        <w:r>
          <w:rPr>
            <w:color w:val="0563C1"/>
            <w:u w:val="single"/>
          </w:rPr>
          <w:t>https://www.cambridgeenglish.org/exams-and-tests/ielts/preparation/</w:t>
        </w:r>
      </w:hyperlink>
    </w:p>
    <w:p>
      <w:r>
        <w:rPr>
          <w:b/>
        </w:rPr>
        <w:t xml:space="preserve">Evidence caution. </w:t>
      </w:r>
      <w:r>
        <w:t>The exact scenario frequencies are corpus-derived, not an official IELTS taxonomy. Likewise, word count, duration, WPM, turn count and realism frequencies are production recommendations based on observed material and direct calibration checks, not official test specifications.</w:t>
      </w:r>
    </w:p>
    <w:sectPr w:rsidR="00FC693F" w:rsidRPr="0006063C" w:rsidSect="00034616">
      <w:footerReference w:type="default" r:id="rId15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IELTS Listening Part 1 Generation Specification — Clean v2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546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374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 Bullet"/>
    <w:basedOn w:val="Normal"/>
    <w:pPr>
      <w:spacing w:after="40"/>
      <w:ind w:left="259" w:hanging="173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ielts.org/take-a-test/test-types/ielts-academic-test/ielts-academic-format-listening" TargetMode="External"/><Relationship Id="rId10" Type="http://schemas.openxmlformats.org/officeDocument/2006/relationships/hyperlink" Target="https://ielts.org/cdn/ielts-sample-tests/ielts-listening-sample-tasks-2023.pdf" TargetMode="External"/><Relationship Id="rId11" Type="http://schemas.openxmlformats.org/officeDocument/2006/relationships/hyperlink" Target="https://takeielts.britishcouncil.org/sites/default/files/listening_part_1_matching_features_.pdf" TargetMode="External"/><Relationship Id="rId12" Type="http://schemas.openxmlformats.org/officeDocument/2006/relationships/hyperlink" Target="https://takeielts.britishcouncil.org/take-ielts/prepare/free-ielts-english-practice-tests/listening/section-1" TargetMode="External"/><Relationship Id="rId13" Type="http://schemas.openxmlformats.org/officeDocument/2006/relationships/hyperlink" Target="https://ielts.idp.com/prepare/article-how-to-write-numbers-in-ielts" TargetMode="External"/><Relationship Id="rId14" Type="http://schemas.openxmlformats.org/officeDocument/2006/relationships/hyperlink" Target="https://www.cambridgeenglish.org/exams-and-tests/ielts/preparation/" TargetMode="Externa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