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PEMINJAMAN HARIAN</w:t>
      </w:r>
    </w:p>
    <w:p>
      <w:r>
        <w:t>Dicetak pada: 10 December 2025 - 11:54 WIB</w:t>
      </w:r>
    </w:p>
    <w:p>
      <w:pPr>
        <w:pStyle w:val="Heading2"/>
      </w:pPr>
      <w:r>
        <w:t>Transaksi Peminjaman Hari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Judul Buku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Peminjam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Tgl Pinjam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Jatuh Tempo</w:t>
            </w:r>
          </w:p>
        </w:tc>
      </w:tr>
      <w:tr>
        <w:tc>
          <w:tcPr>
            <w:tcW w:type="dxa" w:w="2160"/>
          </w:tcPr>
          <w:p>
            <w:r>
              <w:t>21 Lessons for the 21st Century</w:t>
            </w:r>
          </w:p>
        </w:tc>
        <w:tc>
          <w:tcPr>
            <w:tcW w:type="dxa" w:w="2160"/>
          </w:tcPr>
          <w:p>
            <w:r>
              <w:t>Muhammad Alif Farras Syakir</w:t>
            </w:r>
          </w:p>
        </w:tc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2025-12-13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