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B10F1D">
        <w:rPr>
          <w:sz w:val="28"/>
        </w:rPr>
        <w:t>1.1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AD18E2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AD18E2" w:rsidP="00B10F1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F36885" w:rsidRPr="00620CDE" w:rsidRDefault="00620CDE" w:rsidP="00B10F1D">
            <w:pPr>
              <w:pStyle w:val="Tabletext"/>
              <w:jc w:val="center"/>
            </w:pPr>
            <w:r>
              <w:rPr>
                <w:lang w:val="bg-BG"/>
              </w:rPr>
              <w:t>Ревизия на фиг.4</w:t>
            </w:r>
          </w:p>
        </w:tc>
        <w:tc>
          <w:tcPr>
            <w:tcW w:w="2304" w:type="dxa"/>
          </w:tcPr>
          <w:p w:rsidR="00F36885" w:rsidRPr="00620CDE" w:rsidRDefault="00620CDE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bookmarkStart w:id="1" w:name="_Toc436901966"/>
      <w:r>
        <w:t>Въведение</w:t>
      </w:r>
      <w:bookmarkEnd w:id="1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ABM-2-I1-Quality Assurance Plan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ABM-5-I1-Software Requirements Specifications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ABM-6-I1-Java Code Conventions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9"/>
    </w:p>
    <w:p w:rsidR="00F36885" w:rsidRPr="00AB4F0D" w:rsidRDefault="00AB4F0D" w:rsidP="00DD7369">
      <w:pPr>
        <w:pStyle w:val="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E263F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E263F0">
        <w:rPr>
          <w:lang w:val="bg-BG"/>
        </w:rPr>
        <w:t>изгражда своята правна рамка.</w:t>
      </w:r>
      <w:r w:rsidR="00E263F0" w:rsidRPr="00E263F0">
        <w:rPr>
          <w:lang w:val="bg-BG"/>
        </w:rPr>
        <w:t xml:space="preserve"> Тук ще бъдат изброени някои от основните закони :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E263F0">
        <w:rPr>
          <w:color w:val="000000"/>
          <w:shd w:val="clear" w:color="auto" w:fill="FFFFFF"/>
          <w:lang w:val="bg-BG"/>
        </w:rPr>
        <w:t>З</w:t>
      </w:r>
      <w:r w:rsidRPr="00E263F0">
        <w:rPr>
          <w:color w:val="000000"/>
          <w:shd w:val="clear" w:color="auto" w:fill="FFFFFF"/>
        </w:rPr>
        <w:t>акон за платежните услуги и платежните системи</w:t>
      </w:r>
      <w:r>
        <w:rPr>
          <w:color w:val="000000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потребителския кредит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предоставяне на финансови услуги от разстояние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Валутен закон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гарантиране на влоговете в банките</w:t>
      </w:r>
    </w:p>
    <w:p w:rsidR="00FA1DC0" w:rsidRPr="00E263F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3" w:name="_Toc436901973"/>
      <w:r>
        <w:rPr>
          <w:lang w:val="bg-BG"/>
        </w:rPr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lastRenderedPageBreak/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7C42D5" w:rsidRPr="007C42D5" w:rsidRDefault="00A01492" w:rsidP="00620CDE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F36885" w:rsidRPr="003A0044" w:rsidRDefault="005279D9" w:rsidP="003A0044">
      <w:pPr>
        <w:pStyle w:val="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Отговаря за целия процес на тестване и неговото </w:t>
            </w:r>
            <w:r>
              <w:rPr>
                <w:lang w:val="bg-BG"/>
              </w:rPr>
              <w:lastRenderedPageBreak/>
              <w:t>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8" w:name="_Toc436901978"/>
      <w:r>
        <w:t>Процес на управление</w:t>
      </w:r>
      <w:bookmarkEnd w:id="18"/>
    </w:p>
    <w:p w:rsidR="00F36885" w:rsidRDefault="00BB29F0" w:rsidP="00DD7369">
      <w:pPr>
        <w:pStyle w:val="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0" w:name="_Toc436901980"/>
      <w:r>
        <w:t>План на фазите</w:t>
      </w:r>
      <w:bookmarkEnd w:id="20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29</w:t>
            </w:r>
            <w:r w:rsidR="009546C5">
              <w:rPr>
                <w:lang w:val="bg-BG"/>
              </w:rPr>
              <w:t>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27CD5">
              <w:rPr>
                <w:lang w:val="bg-BG"/>
              </w:rPr>
              <w:t>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DD7369" w:rsidRDefault="00306C82" w:rsidP="00620CDE">
      <w:pPr>
        <w:pStyle w:val="a9"/>
        <w:ind w:left="0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lastRenderedPageBreak/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1" w:name="_Toc436901981"/>
      <w:bookmarkStart w:id="22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1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AD18E2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620CDE">
        <w:rPr>
          <w:lang w:val="bg-BG"/>
        </w:rPr>
        <w:t xml:space="preserve">модел на данните. </w:t>
      </w:r>
      <w:r w:rsidR="001428E8">
        <w:rPr>
          <w:lang w:val="bg-BG"/>
        </w:rPr>
        <w:t>Пълното завършване на инфраструктурния модел.</w:t>
      </w:r>
    </w:p>
    <w:p w:rsidR="003A0044" w:rsidRDefault="003A0044" w:rsidP="001428E8">
      <w:pPr>
        <w:pStyle w:val="af2"/>
        <w:numPr>
          <w:ilvl w:val="0"/>
          <w:numId w:val="35"/>
        </w:numPr>
        <w:jc w:val="both"/>
      </w:pPr>
      <w:r>
        <w:t>E2 –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620CDE">
        <w:rPr>
          <w:lang w:val="bg-BG"/>
        </w:rPr>
        <w:t>,</w:t>
      </w:r>
      <w:r w:rsidR="001428E8">
        <w:t xml:space="preserve"> </w:t>
      </w:r>
      <w:r w:rsidR="00620CDE">
        <w:rPr>
          <w:lang w:val="bg-BG"/>
        </w:rPr>
        <w:t>завършване на бизнес модел и модел на данните</w:t>
      </w:r>
      <w:r w:rsidR="001428E8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620CDE">
        <w:rPr>
          <w:lang w:val="bg-BG"/>
        </w:rPr>
        <w:t>Изработване модела на потребителските случаи. На база на разработените потребителски случаи да се създаде Дизайн модел</w:t>
      </w:r>
      <w:bookmarkStart w:id="23" w:name="_GoBack"/>
      <w:bookmarkEnd w:id="23"/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af2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2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6901984"/>
      <w:bookmarkStart w:id="27" w:name="_Toc430447692"/>
      <w:r>
        <w:t>Ресурси</w:t>
      </w:r>
      <w:bookmarkEnd w:id="26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7"/>
    <w:p w:rsidR="00F36885" w:rsidRDefault="003012FB" w:rsidP="00DD7369">
      <w:pPr>
        <w:pStyle w:val="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2"/>
        <w:jc w:val="both"/>
      </w:pPr>
      <w:bookmarkStart w:id="30" w:name="_Toc436901987"/>
      <w:bookmarkEnd w:id="29"/>
      <w:r>
        <w:lastRenderedPageBreak/>
        <w:t>Мониторинг и контрол на проекта</w:t>
      </w:r>
      <w:bookmarkEnd w:id="30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>ABM-5-I1-Software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r>
        <w:t>План за контролиране на графика</w:t>
      </w:r>
      <w:bookmarkEnd w:id="32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B259E" w:rsidRDefault="00B66FD1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>ABM-6-I1-Java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F5" w:rsidRDefault="009058F5">
      <w:pPr>
        <w:spacing w:line="240" w:lineRule="auto"/>
      </w:pPr>
      <w:r>
        <w:separator/>
      </w:r>
    </w:p>
  </w:endnote>
  <w:endnote w:type="continuationSeparator" w:id="0">
    <w:p w:rsidR="009058F5" w:rsidRDefault="00905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8E2" w:rsidRDefault="00AD18E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D18E2" w:rsidRDefault="00AD18E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18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Pr="00434E81" w:rsidRDefault="00AD18E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Default="00AD18E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Default="00AD18E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47D72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647D72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AD18E2" w:rsidRDefault="00AD18E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8E2" w:rsidRDefault="00AD18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F5" w:rsidRDefault="009058F5">
      <w:pPr>
        <w:spacing w:line="240" w:lineRule="auto"/>
      </w:pPr>
      <w:r>
        <w:separator/>
      </w:r>
    </w:p>
  </w:footnote>
  <w:footnote w:type="continuationSeparator" w:id="0">
    <w:p w:rsidR="009058F5" w:rsidRDefault="009058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8E2" w:rsidRPr="00F55D95" w:rsidRDefault="00AD18E2">
    <w:pPr>
      <w:rPr>
        <w:sz w:val="24"/>
        <w:lang w:val="bg-BG"/>
      </w:rPr>
    </w:pPr>
  </w:p>
  <w:p w:rsidR="00AD18E2" w:rsidRDefault="00AD18E2">
    <w:pPr>
      <w:pBdr>
        <w:top w:val="single" w:sz="6" w:space="1" w:color="auto"/>
      </w:pBdr>
      <w:rPr>
        <w:sz w:val="24"/>
      </w:rPr>
    </w:pPr>
  </w:p>
  <w:p w:rsidR="00AD18E2" w:rsidRPr="00953D38" w:rsidRDefault="00AD18E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D18E2" w:rsidRDefault="00AD18E2">
    <w:pPr>
      <w:pBdr>
        <w:bottom w:val="single" w:sz="6" w:space="1" w:color="auto"/>
      </w:pBdr>
      <w:jc w:val="right"/>
      <w:rPr>
        <w:sz w:val="24"/>
      </w:rPr>
    </w:pPr>
  </w:p>
  <w:p w:rsidR="00AD18E2" w:rsidRDefault="00AD18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8E2">
      <w:tc>
        <w:tcPr>
          <w:tcW w:w="6379" w:type="dxa"/>
        </w:tcPr>
        <w:p w:rsidR="00AD18E2" w:rsidRPr="00BA2004" w:rsidRDefault="00AD18E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AD18E2" w:rsidRPr="00402938" w:rsidRDefault="00AD18E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1</w:t>
          </w:r>
        </w:p>
      </w:tc>
    </w:tr>
    <w:tr w:rsidR="00AD18E2">
      <w:tc>
        <w:tcPr>
          <w:tcW w:w="6379" w:type="dxa"/>
        </w:tcPr>
        <w:p w:rsidR="00AD18E2" w:rsidRDefault="00AD18E2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AD18E2" w:rsidRPr="00F55D95" w:rsidRDefault="00AD18E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17.12.2015г.</w:t>
          </w:r>
        </w:p>
      </w:tc>
    </w:tr>
  </w:tbl>
  <w:p w:rsidR="00AD18E2" w:rsidRDefault="00AD18E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8E2" w:rsidRDefault="00AD18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C340A"/>
    <w:rsid w:val="000E0483"/>
    <w:rsid w:val="000F6593"/>
    <w:rsid w:val="0010336B"/>
    <w:rsid w:val="001428E8"/>
    <w:rsid w:val="00145916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A2B74"/>
    <w:rsid w:val="002B3BC8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20CDE"/>
    <w:rsid w:val="00647D72"/>
    <w:rsid w:val="00655BCE"/>
    <w:rsid w:val="006B15A5"/>
    <w:rsid w:val="006E2F2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488A"/>
    <w:rsid w:val="008934E4"/>
    <w:rsid w:val="008D085D"/>
    <w:rsid w:val="008D354F"/>
    <w:rsid w:val="008D7588"/>
    <w:rsid w:val="008F687E"/>
    <w:rsid w:val="009058F5"/>
    <w:rsid w:val="00927A24"/>
    <w:rsid w:val="009455E7"/>
    <w:rsid w:val="00945FBF"/>
    <w:rsid w:val="00953B32"/>
    <w:rsid w:val="00953D38"/>
    <w:rsid w:val="009546C5"/>
    <w:rsid w:val="009805DF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D18E2"/>
    <w:rsid w:val="00AF325B"/>
    <w:rsid w:val="00B10F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77BD"/>
    <w:rsid w:val="00F17C85"/>
    <w:rsid w:val="00F21F06"/>
    <w:rsid w:val="00F36885"/>
    <w:rsid w:val="00F474B0"/>
    <w:rsid w:val="00F50AF4"/>
    <w:rsid w:val="00F55D95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393A3-5108-4954-8375-C91BBA2F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11</Pages>
  <Words>2533</Words>
  <Characters>14440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85</cp:revision>
  <cp:lastPrinted>1900-12-31T22:00:00Z</cp:lastPrinted>
  <dcterms:created xsi:type="dcterms:W3CDTF">2015-11-28T10:04:00Z</dcterms:created>
  <dcterms:modified xsi:type="dcterms:W3CDTF">2016-01-29T12:05:00Z</dcterms:modified>
</cp:coreProperties>
</file>