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515BC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515BC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DF4B10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AC22A7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36885" w:rsidRPr="00557555" w:rsidRDefault="00557555" w:rsidP="00DF4B1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Фиг.4 Списък с предавани документи по фази</w:t>
      </w:r>
      <w:r>
        <w:tab/>
      </w:r>
      <w:r>
        <w:fldChar w:fldCharType="begin"/>
      </w:r>
      <w:r>
        <w:instrText xml:space="preserve"> PAGEREF _Toc436901992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bookmarkStart w:id="1" w:name="_Toc436901966"/>
      <w:r>
        <w:t>Въведение</w:t>
      </w:r>
      <w:bookmarkEnd w:id="1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5" w:name="_Toc436901968"/>
      <w:bookmarkEnd w:id="3"/>
      <w:bookmarkEnd w:id="4"/>
      <w:r>
        <w:rPr>
          <w:lang w:val="bg-BG"/>
        </w:rPr>
        <w:t>Дефиниции, акроними и абревиатури</w:t>
      </w:r>
      <w:bookmarkEnd w:id="5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ABM-2-I1-Quality Assurance Plan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ABM-5-I1-Software Requirements Specifications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ABM-6-I1-Java Code Conventions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9"/>
    </w:p>
    <w:p w:rsidR="00F36885" w:rsidRPr="00AB4F0D" w:rsidRDefault="00AB4F0D" w:rsidP="00DD7369">
      <w:pPr>
        <w:pStyle w:val="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bookmarkStart w:id="13" w:name="_Toc436901973"/>
      <w:r>
        <w:rPr>
          <w:lang w:val="bg-BG"/>
        </w:rPr>
        <w:lastRenderedPageBreak/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lastRenderedPageBreak/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>Отговаря за тестването на единиците (</w:t>
            </w:r>
            <w:r>
              <w:t xml:space="preserve">Unit </w:t>
            </w:r>
            <w:r>
              <w:lastRenderedPageBreak/>
              <w:t xml:space="preserve">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8" w:name="_Toc436901978"/>
      <w:r>
        <w:t>Процес на управление</w:t>
      </w:r>
      <w:bookmarkEnd w:id="18"/>
    </w:p>
    <w:p w:rsidR="00F36885" w:rsidRDefault="00BB29F0" w:rsidP="00DD7369">
      <w:pPr>
        <w:pStyle w:val="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0" w:name="_Toc436901980"/>
      <w:r>
        <w:t>План на фазите</w:t>
      </w:r>
      <w:bookmarkEnd w:id="20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1" w:name="_Toc436901981"/>
      <w:bookmarkStart w:id="22" w:name="_Toc430447688"/>
      <w:r>
        <w:lastRenderedPageBreak/>
        <w:t>Цели на итераци</w:t>
      </w:r>
      <w:r>
        <w:rPr>
          <w:lang w:val="bg-BG"/>
        </w:rPr>
        <w:t>и</w:t>
      </w:r>
      <w:r>
        <w:t>те</w:t>
      </w:r>
      <w:bookmarkEnd w:id="21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bookmarkStart w:id="23" w:name="_Toc436901982"/>
      <w:r>
        <w:rPr>
          <w:lang w:val="bg-BG"/>
        </w:rPr>
        <w:t>Издания</w:t>
      </w:r>
      <w:bookmarkEnd w:id="23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af2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</w:t>
      </w:r>
      <w:r w:rsidR="004D3561">
        <w:rPr>
          <w:lang w:val="bg-BG"/>
        </w:rPr>
        <w:t>„Банкомати“ и „Управление на карти“</w:t>
      </w:r>
      <w:r w:rsidR="004D3561">
        <w:rPr>
          <w:lang w:val="bg-BG"/>
        </w:rPr>
        <w:t>;</w:t>
      </w:r>
    </w:p>
    <w:p w:rsidR="00D92788" w:rsidRPr="00DA5D33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</w:t>
      </w:r>
      <w:r w:rsidR="004D3561">
        <w:rPr>
          <w:lang w:val="bg-BG"/>
        </w:rPr>
        <w:t>„Електронно банкиране“, „СМС банкиране“ и „Интеграция с външни системи“</w:t>
      </w:r>
      <w:r w:rsidR="004D3561">
        <w:rPr>
          <w:lang w:val="bg-BG"/>
        </w:rPr>
        <w:t>;</w:t>
      </w:r>
    </w:p>
    <w:p w:rsidR="00DA5D33" w:rsidRPr="00D92788" w:rsidRDefault="00DA5D33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</w:t>
      </w:r>
      <w:r w:rsidR="004D3561">
        <w:rPr>
          <w:lang w:val="bg-BG"/>
        </w:rPr>
        <w:t>„Управление на инвестиции“, „Работа с клиента“</w:t>
      </w:r>
      <w:r w:rsidR="004D3561">
        <w:rPr>
          <w:lang w:val="bg-BG"/>
        </w:rPr>
        <w:t>;</w:t>
      </w:r>
      <w:bookmarkStart w:id="24" w:name="_GoBack"/>
      <w:bookmarkEnd w:id="24"/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5" w:name="_Toc436901983"/>
      <w:bookmarkEnd w:id="22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6" w:name="_Toc436901984"/>
      <w:bookmarkStart w:id="27" w:name="_Toc430447692"/>
      <w:r>
        <w:t>Ресурси</w:t>
      </w:r>
      <w:bookmarkEnd w:id="26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7"/>
    <w:p w:rsidR="00F36885" w:rsidRDefault="003012FB" w:rsidP="00DD7369">
      <w:pPr>
        <w:pStyle w:val="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8" w:name="_Toc436901986"/>
      <w:r>
        <w:rPr>
          <w:lang w:val="bg-BG"/>
        </w:rPr>
        <w:t>Планове за итерации</w:t>
      </w:r>
      <w:bookmarkStart w:id="29" w:name="_Toc447095908"/>
      <w:bookmarkEnd w:id="2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2"/>
        <w:jc w:val="both"/>
      </w:pPr>
      <w:bookmarkStart w:id="30" w:name="_Toc436901987"/>
      <w:bookmarkEnd w:id="29"/>
      <w:r>
        <w:t>Мониторинг и контрол на проекта</w:t>
      </w:r>
      <w:bookmarkEnd w:id="30"/>
    </w:p>
    <w:p w:rsidR="00F36885" w:rsidRDefault="00471C17" w:rsidP="0010336B">
      <w:pPr>
        <w:pStyle w:val="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>ABM-5-I1-Software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2" w:name="_Toc436901989"/>
      <w:r>
        <w:t>План за контролиране на графика</w:t>
      </w:r>
      <w:bookmarkEnd w:id="32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</w:t>
      </w:r>
      <w:r w:rsidR="00471C17">
        <w:rPr>
          <w:lang w:val="bg-BG"/>
        </w:rPr>
        <w:lastRenderedPageBreak/>
        <w:t>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3" w:name="_Toc436901990"/>
      <w:r>
        <w:rPr>
          <w:lang w:val="bg-BG"/>
        </w:rPr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1B259E" w:rsidRDefault="001B259E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 xml:space="preserve">А. </w:t>
            </w:r>
            <w:r w:rsidRPr="001B259E"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B259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lastRenderedPageBreak/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lastRenderedPageBreak/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>ABM-6-I1-Java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DEE" w:rsidRDefault="00D40DEE">
      <w:pPr>
        <w:spacing w:line="240" w:lineRule="auto"/>
      </w:pPr>
      <w:r>
        <w:separator/>
      </w:r>
    </w:p>
  </w:endnote>
  <w:endnote w:type="continuationSeparator" w:id="0">
    <w:p w:rsidR="00D40DEE" w:rsidRDefault="00D4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845" w:rsidRDefault="0044584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45845" w:rsidRDefault="0044584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58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5845" w:rsidRPr="00434E81" w:rsidRDefault="00445845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5845" w:rsidRDefault="00445845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5845" w:rsidRDefault="00445845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D3561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D3561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445845" w:rsidRDefault="0044584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845" w:rsidRDefault="0044584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DEE" w:rsidRDefault="00D40DEE">
      <w:pPr>
        <w:spacing w:line="240" w:lineRule="auto"/>
      </w:pPr>
      <w:r>
        <w:separator/>
      </w:r>
    </w:p>
  </w:footnote>
  <w:footnote w:type="continuationSeparator" w:id="0">
    <w:p w:rsidR="00D40DEE" w:rsidRDefault="00D40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845" w:rsidRPr="00F55D95" w:rsidRDefault="00445845">
    <w:pPr>
      <w:rPr>
        <w:sz w:val="24"/>
        <w:lang w:val="bg-BG"/>
      </w:rPr>
    </w:pPr>
  </w:p>
  <w:p w:rsidR="00445845" w:rsidRDefault="00445845">
    <w:pPr>
      <w:pBdr>
        <w:top w:val="single" w:sz="6" w:space="1" w:color="auto"/>
      </w:pBdr>
      <w:rPr>
        <w:sz w:val="24"/>
      </w:rPr>
    </w:pPr>
  </w:p>
  <w:p w:rsidR="00445845" w:rsidRPr="00953D38" w:rsidRDefault="00445845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445845" w:rsidRDefault="00445845">
    <w:pPr>
      <w:pBdr>
        <w:bottom w:val="single" w:sz="6" w:space="1" w:color="auto"/>
      </w:pBdr>
      <w:jc w:val="right"/>
      <w:rPr>
        <w:sz w:val="24"/>
      </w:rPr>
    </w:pPr>
  </w:p>
  <w:p w:rsidR="00445845" w:rsidRDefault="0044584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5845">
      <w:tc>
        <w:tcPr>
          <w:tcW w:w="6379" w:type="dxa"/>
        </w:tcPr>
        <w:p w:rsidR="00445845" w:rsidRPr="00E80721" w:rsidRDefault="00445845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445845" w:rsidRPr="00F55D95" w:rsidRDefault="00445845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445845">
      <w:tc>
        <w:tcPr>
          <w:tcW w:w="6379" w:type="dxa"/>
        </w:tcPr>
        <w:p w:rsidR="00445845" w:rsidRDefault="00445845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445845" w:rsidRPr="00F55D95" w:rsidRDefault="00445845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445845" w:rsidRDefault="0044584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845" w:rsidRDefault="0044584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0"/>
  </w:num>
  <w:num w:numId="4">
    <w:abstractNumId w:val="4"/>
  </w:num>
  <w:num w:numId="5">
    <w:abstractNumId w:val="8"/>
  </w:num>
  <w:num w:numId="6">
    <w:abstractNumId w:val="24"/>
  </w:num>
  <w:num w:numId="7">
    <w:abstractNumId w:val="2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7"/>
  </w:num>
  <w:num w:numId="10">
    <w:abstractNumId w:val="25"/>
  </w:num>
  <w:num w:numId="11">
    <w:abstractNumId w:val="3"/>
  </w:num>
  <w:num w:numId="12">
    <w:abstractNumId w:val="15"/>
  </w:num>
  <w:num w:numId="13">
    <w:abstractNumId w:val="34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3"/>
  </w:num>
  <w:num w:numId="19">
    <w:abstractNumId w:val="5"/>
  </w:num>
  <w:num w:numId="20">
    <w:abstractNumId w:val="17"/>
  </w:num>
  <w:num w:numId="21">
    <w:abstractNumId w:val="14"/>
  </w:num>
  <w:num w:numId="22">
    <w:abstractNumId w:val="32"/>
  </w:num>
  <w:num w:numId="23">
    <w:abstractNumId w:val="13"/>
  </w:num>
  <w:num w:numId="24">
    <w:abstractNumId w:val="10"/>
  </w:num>
  <w:num w:numId="25">
    <w:abstractNumId w:val="31"/>
  </w:num>
  <w:num w:numId="26">
    <w:abstractNumId w:val="19"/>
  </w:num>
  <w:num w:numId="27">
    <w:abstractNumId w:val="11"/>
  </w:num>
  <w:num w:numId="28">
    <w:abstractNumId w:val="18"/>
  </w:num>
  <w:num w:numId="29">
    <w:abstractNumId w:val="12"/>
  </w:num>
  <w:num w:numId="30">
    <w:abstractNumId w:val="28"/>
  </w:num>
  <w:num w:numId="31">
    <w:abstractNumId w:val="9"/>
  </w:num>
  <w:num w:numId="32">
    <w:abstractNumId w:val="7"/>
  </w:num>
  <w:num w:numId="33">
    <w:abstractNumId w:val="6"/>
  </w:num>
  <w:num w:numId="34">
    <w:abstractNumId w:val="35"/>
  </w:num>
  <w:num w:numId="35">
    <w:abstractNumId w:val="21"/>
  </w:num>
  <w:num w:numId="36">
    <w:abstractNumId w:val="26"/>
  </w:num>
  <w:num w:numId="37">
    <w:abstractNumId w:val="2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0F6593"/>
    <w:rsid w:val="0010336B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F6212"/>
    <w:rsid w:val="00434E81"/>
    <w:rsid w:val="00445845"/>
    <w:rsid w:val="00446848"/>
    <w:rsid w:val="0045285E"/>
    <w:rsid w:val="00456F00"/>
    <w:rsid w:val="004703A5"/>
    <w:rsid w:val="00471C17"/>
    <w:rsid w:val="004915A9"/>
    <w:rsid w:val="004944CF"/>
    <w:rsid w:val="004974A7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B15A5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52093"/>
    <w:rsid w:val="00862121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1A30"/>
    <w:rsid w:val="00A73426"/>
    <w:rsid w:val="00A77BC1"/>
    <w:rsid w:val="00A978E7"/>
    <w:rsid w:val="00AB4F0D"/>
    <w:rsid w:val="00AC22A7"/>
    <w:rsid w:val="00AF325B"/>
    <w:rsid w:val="00B32C20"/>
    <w:rsid w:val="00B515BC"/>
    <w:rsid w:val="00B51DAC"/>
    <w:rsid w:val="00B6353D"/>
    <w:rsid w:val="00B81829"/>
    <w:rsid w:val="00B90E4C"/>
    <w:rsid w:val="00BA6778"/>
    <w:rsid w:val="00BB29F0"/>
    <w:rsid w:val="00BB7737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F4B10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ED71AE"/>
    <w:rsid w:val="00F04640"/>
    <w:rsid w:val="00F077BD"/>
    <w:rsid w:val="00F21F06"/>
    <w:rsid w:val="00F36885"/>
    <w:rsid w:val="00F474B0"/>
    <w:rsid w:val="00F50AF4"/>
    <w:rsid w:val="00F55D95"/>
    <w:rsid w:val="00F76027"/>
    <w:rsid w:val="00FA1DC0"/>
    <w:rsid w:val="00FA36D5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2794120-71BA-45B2-B629-8C66BC1A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3ABA1-76E1-4C9B-9CC3-FFFDCCF4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1506</TotalTime>
  <Pages>11</Pages>
  <Words>2452</Words>
  <Characters>13983</Characters>
  <Application>Microsoft Office Word</Application>
  <DocSecurity>0</DocSecurity>
  <Lines>116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52</cp:revision>
  <cp:lastPrinted>1900-12-31T22:00:00Z</cp:lastPrinted>
  <dcterms:created xsi:type="dcterms:W3CDTF">2015-11-28T10:04:00Z</dcterms:created>
  <dcterms:modified xsi:type="dcterms:W3CDTF">2015-12-03T23:11:00Z</dcterms:modified>
</cp:coreProperties>
</file>