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Лекарства за домашно лечение се предписват на рецептурна бланка с бял цвят, върху която задължително се отбелязва режимът за еднократно или многократно отпускане. Рецептите за многократно отпускане имат валидност до 6 месеца от датата на предписване.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Лекарите могат да предписват лекарствени продукти, заплащани със средства от републиканския бюджет за лечение на заболявания, извън обхвата на задължителното здравно осигуряване съгласно Наредба № 34 за реда за заплащане от републиканския бюджет на лечението на българските граждани за заболявания, извън обхвата на задължителното здравно осигуряване. Срокът на валидност на рецептите в тези случаи е 15 дни.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един и същи период на лечение НЗОК заплаща до три лекарствени продукта, предписани на здравноосигуреното лице за едно заболяване, независимо от реда и начина на извършване на предписанията и броя на рецептурните бланки, на които те са предписани.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Лекарствените продукти,  съобразно реда и начина на тяхното предписване се разделят, както следва на две групи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група I—лекарства, предписвани по протоколи, в т.ч. и скъпоструващите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група II—лекарства, назначавани и предписвани от лекар/зъболекар, работещи в лечебни заведения за извънболнична помощ в изпълнение на договор с НЗОК – общопрактикуващ лекар, лекар - специалист.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Протоколи при изписване: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“Протокол за предписване на лекарства, заплащани от НЗОК/ РЗОК” (бл. МЗ-НЗОК № 1) се назначава терапия със: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Лекарства от група IА - протоколите за тях се разглеждат и утвърждават от комисия в ЦУ на НЗОК, включени по програми за скъпоструващо лечение;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Лекарства от група IВ - протоколите за тях се разглеждат и утвърждават от комисия в РЗОК;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Лекарства от група IС (издавани от лекар – специалист от извънболничната помощ) - протоколите за тях се утвърждават в РЗОК.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Всички протоколи се заверяват от РЗОК, а лекарствените средства изписвани по тях са за срок от 6 месеца.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Бланки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НЗОК заплаща напълно или частично лекарствени средства, предписани на рецептурна бланка МЗ - НЗОК № 5 и рецептурна бланка МЗ – НЗОК №5А 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Рецептурните бланки се издават в два екземпляра за срокове за изпълнение както следва: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рецептурна бланка образец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МЗ - НЗОК № 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за предписване на лекарствени продукти за лечение на заболявания, в количества за не повече от 30 дни;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рецептурна бланка образец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МЗ - НЗОК № 5А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за предписване на лекарствени продукти за лечение на хронични заболявания, в количества за не повече от 90 дни.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Рецептите имат срок на валидност считано от датата на издаване, както следва: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15 календарни дни - за рецептурна бланка МЗ - НЗОК № 5 и за отрязък А от рецептурна бланка МЗ - НЗОК № 5А 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45 календарни дни - за отрязък В от рецептурна бланка МЗ - НЗОК № 5А 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75 календарни дни - за отрязък С от рецептурна бланка МЗ - НЗОК № 5А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Отделните отрязъци на рецептурна бланка МЗ - НЗОК № 5А се изпълняват последователно в определени срокове, считано от датата на издаването й: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15 календарни дни - за отрязък А;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30 до 45 календарни дни - за отрязък В;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60 до 75 календарни дни - за отрязък С.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Лекарите изписват лекарствени средства, напълно или частично платени от НЗОК за не по-голям от 10 дневен курс на лечение за остро заболяване и не по-голям от 90 дневен курс за лечение на пациенти с хронични заболявания.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Зелени/жълти рецепти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Предписването на лекарствени продукти, съдържащи наркотични вещества, се извършва на специална рецептурна бланка за наркотични вещества с жълт цвят и със зелен цвят. Лекарствените продукти, съдържащи наркотични вещества в комбинация, се предписват на рецептурната бланка със зелен цвят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Срокът на валидност на специалната рецепта е 7 дни от датата на издаването 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Подлежи на специален отчет!!!!.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Рецептата се издава в три екземпляра, първите два от които се предават на пациента, а третият се съхранява от лекаря или зъболекаря в продължение на една година и се предоставя на контролните органи при проверка.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highlight w:val="white"/>
          <w:rtl w:val="0"/>
        </w:rPr>
        <w:t xml:space="preserve">Рецептурната бланка е в три екземпляра - третият остава в лекаря, който я е издал. Първият и вторият екземпляр се представят в аптеката за изпълнение. В аптеката се задържат и двата екземпляра, като вторият остава в архива на аптеката, а първият екземпляр се отчита в Районния център по здравеопазване.</w:t>
      </w:r>
    </w:p>
    <w:p w:rsidP="00000000" w:rsidRPr="00000000" w:rsidR="00000000" w:rsidDel="00000000" w:rsidRDefault="00000000">
      <w:pPr>
        <w:spacing w:lineRule="auto" w:after="16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Зелена рецептурна бланка е невалидна, ако липсват един или повече от следните елементи на предписанието: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сложил личен печат с името и УИН кода си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е пропуснал да напише адреса на практиката си и телефон за връзка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името и ЕГН на пациента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подписал собственоръчно рецептата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единичната дозировка на лекарствения продукт (дали е от 5, 10 или 20 милиграма, например)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фармацевтичната форма (дали са таблетки или ампули или свещички, например)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с думи или изобщо не е написал общото количество единични дози, които трябва да се отпуснат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дневната дозировка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лекарят не е написал с цифри и думи за колко календарни дни е предписанието</w:t>
      </w:r>
    </w:p>
    <w:p w:rsidP="00000000" w:rsidRPr="00000000" w:rsidR="00000000" w:rsidDel="00000000" w:rsidRDefault="00000000">
      <w:pPr>
        <w:spacing w:lineRule="auto" w:after="16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b30000"/>
          <w:highlight w:val="white"/>
          <w:rtl w:val="0"/>
        </w:rPr>
        <w:t xml:space="preserve">Жълта рецептурна бланка</w:t>
      </w:r>
    </w:p>
    <w:p w:rsidP="00000000" w:rsidRPr="00000000" w:rsidR="00000000" w:rsidDel="00000000" w:rsidRDefault="00000000">
      <w:pPr>
        <w:spacing w:lineRule="auto" w:after="16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Изискванията за предписването на лекарствени продукти на жълта рецептурна бланка са същите, както при зелените рецепти, с единствената разлика, че на жълта рецепта могат да се изписват само и единствено лекарствени продукти от Списък №2 от Закона за контрол на наркотичните вещества и прекурсорите.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741b47"/>
          <w:sz w:val="24"/>
          <w:rtl w:val="0"/>
        </w:rPr>
        <w:t xml:space="preserve">Да помислим как ще се пазят и отчита в системата и дали не е необходимо да се пазят хартиени копия на тези рецепти.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Когато лекарственият продукт се заплаща по реда на Наредба № 34  за реда за заплащане от републиканския бюджет на лечението на българските граждани за заболявания, извън обхвата на задължителното здравно осигуряване, лекарят задължително отбелязва в рецептурната бланка, че лекарственият продукт се заплаща от МЗ.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Когато лекарственият продукт се заплаща от Националната здравноосигурителна каса (НЗОК), лекарят задължително попълва кода на НЗОК на съответния лекарствен продукт и МКБ кода на заболяването.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http://eruditabg.com/?pid=40&amp;spid=60</w:t>
        </w:r>
      </w:hyperlink>
      <w:r w:rsidRPr="00000000" w:rsidR="00000000" w:rsidDel="00000000">
        <w:rPr>
          <w:rtl w:val="0"/>
        </w:rPr>
        <w:t xml:space="preserve"> - списък с лекарствата за жълта рецепта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http://eruditabg.com/?pid=40&amp;spid=61</w:t>
        </w:r>
      </w:hyperlink>
      <w:r w:rsidRPr="00000000" w:rsidR="00000000" w:rsidDel="00000000">
        <w:rPr>
          <w:rtl w:val="0"/>
        </w:rPr>
        <w:t xml:space="preserve"> - списък с лекарствана за зелена рецепта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ruditabg.com/?pid=40&amp;spid=61" Type="http://schemas.openxmlformats.org/officeDocument/2006/relationships/hyperlink" TargetMode="External" Id="rId6"/><Relationship Target="http://eruditabg.com/?pid=40&amp;spid=60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Рецепти.docx</dc:title>
</cp:coreProperties>
</file>