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Large-scale 3D CityGML modeling and texture projection</w:t>
      </w:r>
    </w:p>
    <w:p>
      <w:r>
        <w:t>Title: Large-scale 3D CityGML modeling and texture projection</w:t>
      </w:r>
    </w:p>
    <w:p>
      <w:r>
        <w:t>Summary: Automated pipeline for 3D CityGML reconstruction and photorealistic texture generation from high-resolution aerial imagery.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4</w:t>
      </w:r>
    </w:p>
    <w:p>
      <w:r>
        <w:t>Featured: no</w:t>
      </w:r>
    </w:p>
    <w:p>
      <w:r>
        <w:t>Related research: 2-intelligent-3d-spatial-modeling--digital-twins</w:t>
      </w:r>
    </w:p>
    <w:p>
      <w:pPr>
        <w:pStyle w:val="Heading1"/>
      </w:pPr>
      <w:r>
        <w:t>My contribution</w:t>
      </w:r>
    </w:p>
    <w:p>
      <w:pPr/>
      <w:r>
        <w:t>At HawarIT Limited, I built an automated pipeline for large-scale 3D CityGML reconstruction and photorealistic texture generation from high-resolution aerial surveys.</w:t>
      </w:r>
    </w:p>
    <w:p>
      <w:pPr>
        <w:pStyle w:val="Heading1"/>
      </w:pPr>
      <w:r>
        <w:t>Automated 3D Reconstruction</w:t>
      </w:r>
    </w:p>
    <w:p>
      <w:pPr/>
      <w:r>
        <w:t>Developed algorithms converting 2D footprint geometries and elevation models into semantic 3D CityGML building representations at scale.</w:t>
      </w:r>
    </w:p>
    <w:p>
      <w:pPr>
        <w:pStyle w:val="Heading1"/>
      </w:pPr>
      <w:r>
        <w:t>Occlusion-Aware Multi-View Texture Projection</w:t>
      </w:r>
    </w:p>
    <w:p>
      <w:pPr/>
      <w:r>
        <w:t>Designed custom texture projection algorithms that dynamically evaluate viewing angles, occlusions, and image resolution to project aerial imagery onto 3D building facades.</w:t>
      </w:r>
    </w:p>
    <w:p>
      <w:pPr>
        <w:pStyle w:val="Heading1"/>
      </w:pPr>
      <w:r>
        <w:t>Quantitative Results</w:t>
      </w:r>
    </w:p>
    <w:p>
      <w:pPr/>
      <w:r>
        <w:t xml:space="preserve">Maintained strict geometric alignment with a </w:t>
      </w:r>
      <w:r>
        <w:rPr>
          <w:b/>
        </w:rPr>
        <w:t>texture shift of less than 3 pixels</w:t>
      </w:r>
      <w:r>
        <w:t>, generating high-fidelity photorealistic urban digital twin models for municipal planning.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