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Orthophoto pipeline automation</w:t>
      </w:r>
    </w:p>
    <w:p>
      <w:r>
        <w:t>Title: Orthophoto pipeline automation</w:t>
      </w:r>
    </w:p>
    <w:p>
      <w:r>
        <w:t>Summary: Camera alignment, image quality assessment, and spatial validation for aerial mapping.</w:t>
      </w:r>
    </w:p>
    <w:p>
      <w:pPr>
        <w:pStyle w:val="Heading1"/>
      </w:pPr>
      <w:r>
        <w:t>Engineering experience</w:t>
      </w:r>
    </w:p>
    <w:p>
      <w:pPr/>
      <w:r>
        <w:t>I developed feature-matching and tie-point workflows for aerial camera alignment, with reported 2-pixel alignment accuracy and a 90% reduction in manual aerial triangulation effort. My image quality assessment work detected cloud, shadow, and blur with reported 97% accuracy. Seamline optimization using PostgreSQL/PostGIS and AHN LiDAR reduced manual editing by 65%.</w:t>
      </w:r>
    </w:p>
    <w:p>
      <w:pPr>
        <w:pStyle w:val="Heading1"/>
      </w:pPr>
      <w:r>
        <w:t>Research direction</w:t>
      </w:r>
    </w:p>
    <w:p>
      <w:pPr/>
      <w:r>
        <w:t>I would investigate how geometric constraints and image quality models can be combined into a reliable orthophoto production pipeline. Further questions include automated DEM refinement and true-orthophoto validation around building edges, bridges, and elevated structures.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76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Arial" w:hAnsi="Arial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Mahmudul Hasan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