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3D spatial modeling and digital twins</w:t>
      </w:r>
    </w:p>
    <w:p>
      <w:r>
        <w:t>Title: 3D spatial modeling and digital twins</w:t>
      </w:r>
    </w:p>
    <w:p>
      <w:r>
        <w:t>Summary: Structured urban geometry and photorealistic reconstruction from aerial observations.</w:t>
      </w:r>
    </w:p>
    <w:p>
      <w:pPr>
        <w:pStyle w:val="Heading1"/>
      </w:pPr>
      <w:r>
        <w:t>Engineering experience</w:t>
      </w:r>
    </w:p>
    <w:p>
      <w:pPr/>
      <w:r>
        <w:t>I built automated CityGML reconstruction and multi-view aerial texture projection workflows. View selection and occlusion handling maintained reported texture displacement below 3 pixels.</w:t>
      </w:r>
    </w:p>
    <w:p>
      <w:pPr>
        <w:pStyle w:val="Heading1"/>
      </w:pPr>
      <w:r>
        <w:t>Research direction</w:t>
      </w:r>
    </w:p>
    <w:p>
      <w:pPr/>
      <w:r>
        <w:t>I am interested in connecting CityGML representations with 3D Gaussian Splatting for photorealistic urban digital twins. Proposed extensions include video-based reconstruction using structure from motion and multi-view stereo, with attention to consistency at city scale.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Arial" w:hAnsi="Arial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Mahmudul Hasan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