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sensing and change detection</w:t>
      </w:r>
    </w:p>
    <w:p>
      <w:r>
        <w:t>Title: Remote sensing and change detection</w:t>
      </w:r>
    </w:p>
    <w:p>
      <w:r>
        <w:t>Summary: Understanding physical change across multi-temporal aerial and satellite imagery.</w:t>
      </w:r>
    </w:p>
    <w:p>
      <w:pPr>
        <w:pStyle w:val="Heading1"/>
      </w:pPr>
      <w:r>
        <w:t>Engineering experience</w:t>
      </w:r>
    </w:p>
    <w:p>
      <w:pPr/>
      <w:r>
        <w:t>I developed building change detection for construction, demolition, and extensions from multi-year orthophotos. Integrated into a GIS validation platform, the system achieved reported 88% accuracy and reduced manual inspection by 65%. My Sentinel multispectral analytics work covered crop classification, water quality, and algae bloom detection; the framework placed second in an international innovation tender.</w:t>
      </w:r>
    </w:p>
    <w:p>
      <w:pPr>
        <w:pStyle w:val="Heading1"/>
      </w:pPr>
      <w:r>
        <w:t>Research direction</w:t>
      </w:r>
    </w:p>
    <w:p>
      <w:pPr/>
      <w:r>
        <w:t>I would investigate how models distinguish physical changes from seasonal variation, lighting, shadows, and sensor differences. A further direction is adapting these methods to post-disaster infrastructure assessment.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