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Point cloud intelligence and spatial understanding</w:t>
      </w:r>
    </w:p>
    <w:p>
      <w:r>
        <w:t>Title: Point cloud intelligence and spatial understanding</w:t>
      </w:r>
    </w:p>
    <w:p>
      <w:r>
        <w:t>Summary: Semantic and geometric understanding of LiDAR and street-view observations.</w:t>
      </w:r>
    </w:p>
    <w:p>
      <w:pPr>
        <w:pStyle w:val="Heading1"/>
      </w:pPr>
      <w:r>
        <w:t>Engineering experience</w:t>
      </w:r>
    </w:p>
    <w:p>
      <w:pPr/>
      <w:r>
        <w:t>I developed semantic segmentation and pipe/geometry extraction across aerial, mobile, and indoor LiDAR, with reported 95% extraction accuracy and a 60% reduction in manual processing time. My street-view GeoAI pipeline used YOLOv5 and tracking for 130 traffic sign and 33 street furniture classes, with reported detection accuracy above 95% and localization precision of 92%.</w:t>
      </w:r>
    </w:p>
    <w:p>
      <w:pPr>
        <w:pStyle w:val="Heading1"/>
      </w:pPr>
      <w:r>
        <w:t>Research direction</w:t>
      </w:r>
    </w:p>
    <w:p>
      <w:pPr/>
      <w:r>
        <w:t>I am interested in turning unstructured point clouds and imagery into consistent, semantically annotated CAD/BIM objects for digital twins. Research questions include robust geometric extraction and reliable integration of observations from different acquisition platforms.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6" w:lineRule="auto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 w:line="276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 w:line="276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20" w:line="276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 w:line="276" w:lineRule="auto"/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40" w:line="276" w:lineRule="auto"/>
      <w:contextualSpacing/>
    </w:pPr>
    <w:rPr>
      <w:rFonts w:ascii="Arial" w:hAnsi="Arial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40" w:line="276" w:lineRule="auto"/>
      <w:contextualSpacing/>
    </w:pPr>
    <w:rPr>
      <w:rFonts w:ascii="Arial" w:hAnsi="Arial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76" w:lineRule="auto" w:after="140"/>
    </w:pPr>
    <w:rPr>
      <w:rFonts w:ascii="Arial" w:hAnsi="Arial"/>
      <w:b/>
      <w:bCs/>
      <w:color w:val="000000"/>
      <w:sz w:val="22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Mahmudul Hasan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