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aps/>
          <w:color w:val="00897B"/>
          <w:sz w:val="20"/>
          <w:szCs w:val="20"/>
        </w:rPr>
        <w:t xml:space="preserve">CATATAN METODOLOGI</w:t>
      </w:r>
    </w:p>
    <w:p>
      <w:pPr>
        <w:spacing w:after="240" w:before="0"/>
      </w:pPr>
      <w:r>
        <w:rPr>
          <w:rFonts w:ascii="Calibri" w:cs="Calibri" w:eastAsia="Calibri" w:hAnsi="Calibri"/>
          <w:b/>
          <w:bCs/>
          <w:color w:val="0C2461"/>
          <w:sz w:val="36"/>
          <w:szCs w:val="36"/>
        </w:rPr>
        <w:t xml:space="preserve">Expected Cost Matrix — Basis Deteksi Inflated Bills TilikKlaim</w:t>
      </w:r>
    </w:p>
    <w:p>
      <w:pPr>
        <w:pBdr>
          <w:bottom w:val="single" w:color="CBD5E1" w:sz="4" w:space="1"/>
        </w:pBdr>
        <w:spacing w:after="120" w:before="120"/>
      </w:pPr>
      <w:r>
        <w:t xml:space="preserve"/>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1800"/>
        <w:gridCol w:w="7200"/>
      </w:tblGrid>
      <w:tr>
        <w:tc>
          <w:tcPr>
            <w:tcW w:type="dxa" w:w="18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Dokumen</w:t>
            </w:r>
          </w:p>
        </w:tc>
        <w:tc>
          <w:tcPr>
            <w:tcW w:type="dxa" w:w="72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Catatan Metodologi — Expected Cost Matrix v1.0</w:t>
            </w:r>
          </w:p>
        </w:tc>
      </w:tr>
      <w:tr>
        <w:tc>
          <w:tcPr>
            <w:tcW w:type="dxa" w:w="18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Proyek</w:t>
            </w:r>
          </w:p>
        </w:tc>
        <w:tc>
          <w:tcPr>
            <w:tcW w:type="dxa" w:w="72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TilikKlaim — Pre-Submission Claim Integrity System (Healthkathon 2026)</w:t>
            </w:r>
          </w:p>
        </w:tc>
      </w:tr>
      <w:tr>
        <w:tc>
          <w:tcPr>
            <w:tcW w:type="dxa" w:w="18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Tanggal</w:t>
            </w:r>
          </w:p>
        </w:tc>
        <w:tc>
          <w:tcPr>
            <w:tcW w:type="dxa" w:w="72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September 2026</w:t>
            </w:r>
          </w:p>
        </w:tc>
      </w:tr>
      <w:tr>
        <w:tc>
          <w:tcPr>
            <w:tcW w:type="dxa" w:w="18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Data sumber</w:t>
            </w:r>
          </w:p>
        </w:tc>
        <w:tc>
          <w:tcPr>
            <w:tcW w:type="dxa" w:w="72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DJSN / BPJS Kesehatan — Tabel 6.2.x &amp; 6.3.x (2014–2018), data.bpjs-kesehatan.go.id</w:t>
            </w:r>
          </w:p>
        </w:tc>
      </w:tr>
      <w:tr>
        <w:tc>
          <w:tcPr>
            <w:tcW w:type="dxa" w:w="18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Status</w:t>
            </w:r>
          </w:p>
        </w:tc>
        <w:tc>
          <w:tcPr>
            <w:tcW w:type="dxa" w:w="72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Draft — untuk lampiran proposal Healthkathon 2026</w:t>
            </w:r>
          </w:p>
        </w:tc>
      </w:tr>
    </w:tbl>
    <w:p>
      <w:pPr>
        <w:spacing w:after="60" w:before="60"/>
      </w:pPr>
      <w:r>
        <w:t xml:space="preserve"/>
      </w:r>
    </w:p>
    <w:p>
      <w:pPr>
        <w:pBdr>
          <w:left w:val="single" w:color="F59E0B" w:sz="4" w:space="4"/>
        </w:pBdr>
        <w:spacing w:after="120" w:before="120"/>
        <w:ind w:left="200"/>
      </w:pPr>
      <w:r>
        <w:rPr>
          <w:rFonts w:ascii="Calibri" w:cs="Calibri" w:eastAsia="Calibri" w:hAnsi="Calibri"/>
          <w:i/>
          <w:iCs/>
          <w:color w:val="64748B"/>
          <w:sz w:val="18"/>
          <w:szCs w:val="18"/>
        </w:rPr>
        <w:t xml:space="preserve">📌  Dokumen ini menjelaskan bagaimana TilikKlaim membangun baseline biaya klaim dari data publik DJSN dan menggunakannya sebagai referensi deteksi anomali biaya. Semua angka dapat diverifikasi secara independen dari sumber aslinya.</w:t>
      </w:r>
    </w:p>
    <w:p>
      <w:pPr>
        <w:spacing w:after="60" w:before="60"/>
      </w:pPr>
      <w:r>
        <w:t xml:space="preserve"/>
      </w:r>
    </w:p>
    <w:p>
      <w:pPr>
        <w:pStyle w:val="Heading1"/>
        <w:spacing w:after="120" w:before="360"/>
        <w:rPr>
          <w:rFonts w:ascii="Calibri" w:cs="Calibri" w:eastAsia="Calibri" w:hAnsi="Calibri"/>
          <w:b/>
          <w:bCs/>
          <w:color w:val="0C2461"/>
          <w:sz w:val="28"/>
          <w:szCs w:val="28"/>
        </w:rPr>
      </w:pPr>
      <w:r>
        <w:t xml:space="preserve">1. Latar Belakang</w:t>
      </w:r>
    </w:p>
    <w:p>
      <w:pPr>
        <w:spacing w:after="80" w:before="80" w:line="320" w:lineRule="auto"/>
        <w:jc w:val="both"/>
      </w:pPr>
      <w:r>
        <w:rPr>
          <w:rFonts w:ascii="Calibri" w:cs="Calibri" w:eastAsia="Calibri" w:hAnsi="Calibri"/>
          <w:color w:val="1E293B"/>
          <w:sz w:val="20"/>
          <w:szCs w:val="20"/>
        </w:rPr>
        <w:t xml:space="preserve">Salah satu sinyal risiko yang dideteksi TilikKlaim adalah </w:t>
      </w:r>
      <w:r>
        <w:rPr>
          <w:rFonts w:ascii="Calibri" w:cs="Calibri" w:eastAsia="Calibri" w:hAnsi="Calibri"/>
          <w:b/>
          <w:bCs/>
          <w:color w:val="1E293B"/>
          <w:sz w:val="20"/>
          <w:szCs w:val="20"/>
        </w:rPr>
        <w:t xml:space="preserve">Inflated Bills</w:t>
      </w:r>
      <w:r>
        <w:rPr>
          <w:rFonts w:ascii="Calibri" w:cs="Calibri" w:eastAsia="Calibri" w:hAnsi="Calibri"/>
          <w:color w:val="1E293B"/>
          <w:sz w:val="20"/>
          <w:szCs w:val="20"/>
        </w:rPr>
        <w:t xml:space="preserve"> — kondisi di mana biaya klaim yang diajukan oleh fasilitas kesehatan (faskes) menyimpang secara signifikan dari ekspektasi biaya yang seharusnya berlaku untuk pasien dengan karakteristik serupa (provinsi, kelas perawatan, kelompok usia, jenis kelamin).</w:t>
      </w:r>
    </w:p>
    <w:p>
      <w:pPr>
        <w:spacing w:after="80" w:before="80" w:line="320" w:lineRule="auto"/>
        <w:jc w:val="both"/>
      </w:pPr>
      <w:r>
        <w:rPr>
          <w:rFonts w:ascii="Calibri" w:cs="Calibri" w:eastAsia="Calibri" w:hAnsi="Calibri"/>
          <w:color w:val="1E293B"/>
          <w:sz w:val="20"/>
          <w:szCs w:val="20"/>
        </w:rPr>
        <w:t xml:space="preserve">Untuk menentukan "ekspektasi biaya yang seharusnya", TilikKlaim menggunakan </w:t>
      </w:r>
      <w:r>
        <w:rPr>
          <w:rFonts w:ascii="Calibri" w:cs="Calibri" w:eastAsia="Calibri" w:hAnsi="Calibri"/>
          <w:b/>
          <w:bCs/>
          <w:color w:val="1E293B"/>
          <w:sz w:val="20"/>
          <w:szCs w:val="20"/>
        </w:rPr>
        <w:t xml:space="preserve">Expected Cost Matrix</w:t>
      </w:r>
      <w:r>
        <w:rPr>
          <w:rFonts w:ascii="Calibri" w:cs="Calibri" w:eastAsia="Calibri" w:hAnsi="Calibri"/>
          <w:color w:val="1E293B"/>
          <w:sz w:val="20"/>
          <w:szCs w:val="20"/>
        </w:rPr>
        <w:t xml:space="preserve"> — sebuah matriks referensi multi-dimensi yang dibangun dari data agregat biaya klaim JKN yang diterbitkan secara publik oleh DJSN dan BPJS Kesehatan.</w:t>
      </w:r>
    </w:p>
    <w:p>
      <w:pPr>
        <w:spacing w:after="80" w:before="80" w:line="320" w:lineRule="auto"/>
        <w:jc w:val="both"/>
      </w:pPr>
      <w:r>
        <w:rPr>
          <w:rFonts w:ascii="Calibri" w:cs="Calibri" w:eastAsia="Calibri" w:hAnsi="Calibri"/>
          <w:color w:val="1E293B"/>
          <w:sz w:val="20"/>
          <w:szCs w:val="20"/>
        </w:rPr>
        <w:t xml:space="preserve">Filosofi desain yang mendasari pendekatan ini: </w:t>
      </w:r>
      <w:r>
        <w:rPr>
          <w:rFonts w:ascii="Calibri" w:cs="Calibri" w:eastAsia="Calibri" w:hAnsi="Calibri"/>
          <w:b/>
          <w:bCs/>
          <w:color w:val="1E293B"/>
          <w:sz w:val="20"/>
          <w:szCs w:val="20"/>
        </w:rPr>
        <w:t xml:space="preserve">TilikKlaim tidak pernah menyatakan sebuah klaim adalah "fraud"</w:t>
      </w:r>
      <w:r>
        <w:rPr>
          <w:rFonts w:ascii="Calibri" w:cs="Calibri" w:eastAsia="Calibri" w:hAnsi="Calibri"/>
          <w:color w:val="1E293B"/>
          <w:sz w:val="20"/>
          <w:szCs w:val="20"/>
        </w:rPr>
        <w:t xml:space="preserve">. Sistem hanya menghitung apakah biaya yang diajukan berada di luar batas statistik yang wajar, dan menyerahkan keputusan interpretasi kepada casemix officer manusia.</w:t>
      </w:r>
    </w:p>
    <w:p>
      <w:pPr>
        <w:spacing w:after="60" w:before="60"/>
      </w:pPr>
      <w:r>
        <w:t xml:space="preserve"/>
      </w:r>
    </w:p>
    <w:p>
      <w:pPr>
        <w:pStyle w:val="Heading1"/>
        <w:spacing w:after="120" w:before="360"/>
        <w:rPr>
          <w:rFonts w:ascii="Calibri" w:cs="Calibri" w:eastAsia="Calibri" w:hAnsi="Calibri"/>
          <w:b/>
          <w:bCs/>
          <w:color w:val="0C2461"/>
          <w:sz w:val="28"/>
          <w:szCs w:val="28"/>
        </w:rPr>
      </w:pPr>
      <w:r>
        <w:t xml:space="preserve">2. Sumber Data</w:t>
      </w:r>
    </w:p>
    <w:p>
      <w:pPr>
        <w:pStyle w:val="Heading2"/>
        <w:spacing w:after="80" w:before="280"/>
      </w:pPr>
      <w:r>
        <w:rPr>
          <w:rFonts w:ascii="Calibri" w:cs="Calibri" w:eastAsia="Calibri" w:hAnsi="Calibri"/>
          <w:b/>
          <w:bCs/>
          <w:color w:val="0C2461"/>
          <w:sz w:val="24"/>
          <w:szCs w:val="24"/>
        </w:rPr>
        <w:t xml:space="preserve">2.1 Dataset DJSN yang Digunakan</w:t>
      </w:r>
    </w:p>
    <w:p>
      <w:pPr>
        <w:spacing w:after="80" w:before="80" w:line="320" w:lineRule="auto"/>
        <w:jc w:val="both"/>
      </w:pPr>
      <w:r>
        <w:rPr>
          <w:rFonts w:ascii="Calibri" w:cs="Calibri" w:eastAsia="Calibri" w:hAnsi="Calibri"/>
          <w:color w:val="1E293B"/>
          <w:sz w:val="20"/>
          <w:szCs w:val="20"/>
        </w:rPr>
        <w:t xml:space="preserve">Enam dataset publik dari data.bpjs-kesehatan.go.id digunakan sebagai bahan baku Expected Cost Matrix:</w:t>
      </w:r>
    </w:p>
    <w:p>
      <w:pPr>
        <w:spacing w:after="60" w:before="60"/>
      </w:pPr>
      <w:r>
        <w:t xml:space="preserve"/>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2200"/>
        <w:gridCol w:w="2600"/>
        <w:gridCol w:w="1400"/>
        <w:gridCol w:w="2800"/>
      </w:tblGrid>
      <w:tr>
        <w:tc>
          <w:tcPr>
            <w:tcW w:type="dxa" w:w="22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Dataset</w:t>
            </w:r>
          </w:p>
        </w:tc>
        <w:tc>
          <w:tcPr>
            <w:tcW w:type="dxa" w:w="26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Dimensi Agregasi</w:t>
            </w:r>
          </w:p>
        </w:tc>
        <w:tc>
          <w:tcPr>
            <w:tcW w:type="dxa" w:w="14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Cakupan Tahun</w:t>
            </w:r>
          </w:p>
        </w:tc>
        <w:tc>
          <w:tcPr>
            <w:tcW w:type="dxa" w:w="28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Peran dalam Matrix</w:t>
            </w:r>
          </w:p>
        </w:tc>
      </w:tr>
      <w:tr>
        <w:tc>
          <w:tcPr>
            <w:tcW w:type="dxa" w:w="22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Tabel 6.2.1 — RJTL per Kelas</w:t>
            </w:r>
          </w:p>
        </w:tc>
        <w:tc>
          <w:tcPr>
            <w:tcW w:type="dxa" w:w="26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Hak Kelas Perawatan × Tahun</w:t>
            </w:r>
          </w:p>
        </w:tc>
        <w:tc>
          <w:tcPr>
            <w:tcW w:type="dxa" w:w="1400"/>
            <w:tcMar>
              <w:top w:type="dxa" w:w="60"/>
              <w:left w:type="dxa" w:w="80"/>
              <w:bottom w:type="dxa" w:w="60"/>
              <w:right w:type="dxa" w:w="80"/>
            </w:tcMar>
            <w:vAlign w:val="center"/>
          </w:tcPr>
          <w:p>
            <w:pPr>
              <w:spacing w:after="60" w:before="60"/>
              <w:jc w:val="center"/>
            </w:pPr>
            <w:r>
              <w:rPr>
                <w:rFonts w:ascii="Calibri" w:cs="Calibri" w:eastAsia="Calibri" w:hAnsi="Calibri"/>
                <w:b w:val="false"/>
                <w:bCs w:val="false"/>
                <w:color w:val="1E293B"/>
                <w:sz w:val="18"/>
                <w:szCs w:val="18"/>
              </w:rPr>
              <w:t xml:space="preserve">2014–2018</w:t>
            </w:r>
          </w:p>
        </w:tc>
        <w:tc>
          <w:tcPr>
            <w:tcW w:type="dxa" w:w="28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Baseline biaya kunjungan rawat jalan per kelas</w:t>
            </w:r>
          </w:p>
        </w:tc>
      </w:tr>
      <w:tr>
        <w:tc>
          <w:tcPr>
            <w:tcW w:type="dxa" w:w="22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Tabel 6.2.2 — RJTL per Usia/JK</w:t>
            </w:r>
          </w:p>
        </w:tc>
        <w:tc>
          <w:tcPr>
            <w:tcW w:type="dxa" w:w="26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Usia &amp; Jenis Kelamin × Tahun</w:t>
            </w:r>
          </w:p>
        </w:tc>
        <w:tc>
          <w:tcPr>
            <w:tcW w:type="dxa" w:w="1400"/>
            <w:shd w:fill="F5F5F5" w:color="auto" w:val="clear"/>
            <w:tcMar>
              <w:top w:type="dxa" w:w="60"/>
              <w:left w:type="dxa" w:w="80"/>
              <w:bottom w:type="dxa" w:w="60"/>
              <w:right w:type="dxa" w:w="80"/>
            </w:tcMar>
            <w:vAlign w:val="center"/>
          </w:tcPr>
          <w:p>
            <w:pPr>
              <w:spacing w:after="60" w:before="60"/>
              <w:jc w:val="center"/>
            </w:pPr>
            <w:r>
              <w:rPr>
                <w:rFonts w:ascii="Calibri" w:cs="Calibri" w:eastAsia="Calibri" w:hAnsi="Calibri"/>
                <w:b w:val="false"/>
                <w:bCs w:val="false"/>
                <w:color w:val="1E293B"/>
                <w:sz w:val="18"/>
                <w:szCs w:val="18"/>
              </w:rPr>
              <w:t xml:space="preserve">2014–2018</w:t>
            </w:r>
          </w:p>
        </w:tc>
        <w:tc>
          <w:tcPr>
            <w:tcW w:type="dxa" w:w="28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Koreksi demografis RJTL</w:t>
            </w:r>
          </w:p>
        </w:tc>
      </w:tr>
      <w:tr>
        <w:tc>
          <w:tcPr>
            <w:tcW w:type="dxa" w:w="22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Tabel 6.2.3 — RJTL per Provinsi</w:t>
            </w:r>
          </w:p>
        </w:tc>
        <w:tc>
          <w:tcPr>
            <w:tcW w:type="dxa" w:w="26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Provinsi × Tahun</w:t>
            </w:r>
          </w:p>
        </w:tc>
        <w:tc>
          <w:tcPr>
            <w:tcW w:type="dxa" w:w="1400"/>
            <w:tcMar>
              <w:top w:type="dxa" w:w="60"/>
              <w:left w:type="dxa" w:w="80"/>
              <w:bottom w:type="dxa" w:w="60"/>
              <w:right w:type="dxa" w:w="80"/>
            </w:tcMar>
            <w:vAlign w:val="center"/>
          </w:tcPr>
          <w:p>
            <w:pPr>
              <w:spacing w:after="60" w:before="60"/>
              <w:jc w:val="center"/>
            </w:pPr>
            <w:r>
              <w:rPr>
                <w:rFonts w:ascii="Calibri" w:cs="Calibri" w:eastAsia="Calibri" w:hAnsi="Calibri"/>
                <w:b w:val="false"/>
                <w:bCs w:val="false"/>
                <w:color w:val="1E293B"/>
                <w:sz w:val="18"/>
                <w:szCs w:val="18"/>
              </w:rPr>
              <w:t xml:space="preserve">2014–2018</w:t>
            </w:r>
          </w:p>
        </w:tc>
        <w:tc>
          <w:tcPr>
            <w:tcW w:type="dxa" w:w="28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Koreksi regional RJTL</w:t>
            </w:r>
          </w:p>
        </w:tc>
      </w:tr>
      <w:tr>
        <w:tc>
          <w:tcPr>
            <w:tcW w:type="dxa" w:w="22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Tabel 6.3.1 — RITL per Kelas</w:t>
            </w:r>
          </w:p>
        </w:tc>
        <w:tc>
          <w:tcPr>
            <w:tcW w:type="dxa" w:w="26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Hak Kelas Perawatan × Tahun</w:t>
            </w:r>
          </w:p>
        </w:tc>
        <w:tc>
          <w:tcPr>
            <w:tcW w:type="dxa" w:w="1400"/>
            <w:shd w:fill="F5F5F5" w:color="auto" w:val="clear"/>
            <w:tcMar>
              <w:top w:type="dxa" w:w="60"/>
              <w:left w:type="dxa" w:w="80"/>
              <w:bottom w:type="dxa" w:w="60"/>
              <w:right w:type="dxa" w:w="80"/>
            </w:tcMar>
            <w:vAlign w:val="center"/>
          </w:tcPr>
          <w:p>
            <w:pPr>
              <w:spacing w:after="60" w:before="60"/>
              <w:jc w:val="center"/>
            </w:pPr>
            <w:r>
              <w:rPr>
                <w:rFonts w:ascii="Calibri" w:cs="Calibri" w:eastAsia="Calibri" w:hAnsi="Calibri"/>
                <w:b w:val="false"/>
                <w:bCs w:val="false"/>
                <w:color w:val="1E293B"/>
                <w:sz w:val="18"/>
                <w:szCs w:val="18"/>
              </w:rPr>
              <w:t xml:space="preserve">2014–2018</w:t>
            </w:r>
          </w:p>
        </w:tc>
        <w:tc>
          <w:tcPr>
            <w:tcW w:type="dxa" w:w="28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Baseline biaya admisi rawat inap per kelas</w:t>
            </w:r>
          </w:p>
        </w:tc>
      </w:tr>
      <w:tr>
        <w:tc>
          <w:tcPr>
            <w:tcW w:type="dxa" w:w="22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Tabel 6.3.2 — RITL per Usia/JK</w:t>
            </w:r>
          </w:p>
        </w:tc>
        <w:tc>
          <w:tcPr>
            <w:tcW w:type="dxa" w:w="26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Usia &amp; Jenis Kelamin × Tahun</w:t>
            </w:r>
          </w:p>
        </w:tc>
        <w:tc>
          <w:tcPr>
            <w:tcW w:type="dxa" w:w="1400"/>
            <w:tcMar>
              <w:top w:type="dxa" w:w="60"/>
              <w:left w:type="dxa" w:w="80"/>
              <w:bottom w:type="dxa" w:w="60"/>
              <w:right w:type="dxa" w:w="80"/>
            </w:tcMar>
            <w:vAlign w:val="center"/>
          </w:tcPr>
          <w:p>
            <w:pPr>
              <w:spacing w:after="60" w:before="60"/>
              <w:jc w:val="center"/>
            </w:pPr>
            <w:r>
              <w:rPr>
                <w:rFonts w:ascii="Calibri" w:cs="Calibri" w:eastAsia="Calibri" w:hAnsi="Calibri"/>
                <w:b w:val="false"/>
                <w:bCs w:val="false"/>
                <w:color w:val="1E293B"/>
                <w:sz w:val="18"/>
                <w:szCs w:val="18"/>
              </w:rPr>
              <w:t xml:space="preserve">2014–2018</w:t>
            </w:r>
          </w:p>
        </w:tc>
        <w:tc>
          <w:tcPr>
            <w:tcW w:type="dxa" w:w="28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Koreksi demografis RITL</w:t>
            </w:r>
          </w:p>
        </w:tc>
      </w:tr>
      <w:tr>
        <w:tc>
          <w:tcPr>
            <w:tcW w:type="dxa" w:w="22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Tabel 6.3.3 — RITL per Provinsi</w:t>
            </w:r>
          </w:p>
        </w:tc>
        <w:tc>
          <w:tcPr>
            <w:tcW w:type="dxa" w:w="26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Provinsi × Tahun</w:t>
            </w:r>
          </w:p>
        </w:tc>
        <w:tc>
          <w:tcPr>
            <w:tcW w:type="dxa" w:w="1400"/>
            <w:shd w:fill="F5F5F5" w:color="auto" w:val="clear"/>
            <w:tcMar>
              <w:top w:type="dxa" w:w="60"/>
              <w:left w:type="dxa" w:w="80"/>
              <w:bottom w:type="dxa" w:w="60"/>
              <w:right w:type="dxa" w:w="80"/>
            </w:tcMar>
            <w:vAlign w:val="center"/>
          </w:tcPr>
          <w:p>
            <w:pPr>
              <w:spacing w:after="60" w:before="60"/>
              <w:jc w:val="center"/>
            </w:pPr>
            <w:r>
              <w:rPr>
                <w:rFonts w:ascii="Calibri" w:cs="Calibri" w:eastAsia="Calibri" w:hAnsi="Calibri"/>
                <w:b w:val="false"/>
                <w:bCs w:val="false"/>
                <w:color w:val="1E293B"/>
                <w:sz w:val="18"/>
                <w:szCs w:val="18"/>
              </w:rPr>
              <w:t xml:space="preserve">2014–2018</w:t>
            </w:r>
          </w:p>
        </w:tc>
        <w:tc>
          <w:tcPr>
            <w:tcW w:type="dxa" w:w="28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Koreksi regional RITL</w:t>
            </w:r>
          </w:p>
        </w:tc>
      </w:tr>
    </w:tbl>
    <w:p>
      <w:pPr>
        <w:spacing w:after="60" w:before="60"/>
      </w:pPr>
      <w:r>
        <w:t xml:space="preserve"/>
      </w:r>
    </w:p>
    <w:p>
      <w:pPr>
        <w:pBdr>
          <w:left w:val="single" w:color="F59E0B" w:sz="4" w:space="4"/>
        </w:pBdr>
        <w:spacing w:after="120" w:before="120"/>
        <w:ind w:left="200"/>
      </w:pPr>
      <w:r>
        <w:rPr>
          <w:rFonts w:ascii="Calibri" w:cs="Calibri" w:eastAsia="Calibri" w:hAnsi="Calibri"/>
          <w:i/>
          <w:iCs/>
          <w:color w:val="64748B"/>
          <w:sz w:val="18"/>
          <w:szCs w:val="18"/>
        </w:rPr>
        <w:t xml:space="preserve">📌  RJTL = Rawat Jalan Tingkat Lanjut. RITL = Rawat Inap Tingkat Lanjut. Kedua jenis pelayanan ini adalah domain utama klaim FKRTL (fasilitas kesehatan rujukan tingkat lanjut) ke BPJS Kesehatan.</w:t>
      </w:r>
    </w:p>
    <w:p>
      <w:pPr>
        <w:spacing w:after="60" w:before="60"/>
      </w:pPr>
      <w:r>
        <w:t xml:space="preserve"/>
      </w:r>
    </w:p>
    <w:p>
      <w:pPr>
        <w:pStyle w:val="Heading2"/>
        <w:spacing w:after="80" w:before="280"/>
      </w:pPr>
      <w:r>
        <w:rPr>
          <w:rFonts w:ascii="Calibri" w:cs="Calibri" w:eastAsia="Calibri" w:hAnsi="Calibri"/>
          <w:b/>
          <w:bCs/>
          <w:color w:val="0C2461"/>
          <w:sz w:val="24"/>
          <w:szCs w:val="24"/>
        </w:rPr>
        <w:t xml:space="preserve">2.2 Sifat dan Batasan Data</w:t>
      </w:r>
    </w:p>
    <w:p>
      <w:pPr>
        <w:spacing w:after="80" w:before="80" w:line="320" w:lineRule="auto"/>
        <w:jc w:val="both"/>
      </w:pPr>
      <w:r>
        <w:rPr>
          <w:rFonts w:ascii="Calibri" w:cs="Calibri" w:eastAsia="Calibri" w:hAnsi="Calibri"/>
          <w:color w:val="1E293B"/>
          <w:sz w:val="20"/>
          <w:szCs w:val="20"/>
        </w:rPr>
        <w:t xml:space="preserve">Data DJSN yang digunakan memiliki karakteristik berikut yang penting untuk dipahami:</w:t>
      </w:r>
    </w:p>
    <w:p>
      <w:pPr>
        <w:pStyle w:val="ListParagraph"/>
        <w:numPr>
          <w:ilvl w:val="0"/>
          <w:numId w:val="1"/>
        </w:numPr>
        <w:spacing w:after="40" w:before="40"/>
      </w:pPr>
      <w:r>
        <w:rPr>
          <w:rFonts w:ascii="Calibri" w:cs="Calibri" w:eastAsia="Calibri" w:hAnsi="Calibri"/>
          <w:b/>
          <w:bCs/>
          <w:color w:val="1E293B"/>
          <w:sz w:val="20"/>
          <w:szCs w:val="20"/>
        </w:rPr>
        <w:t xml:space="preserve">Agregat, bukan transaksional.</w:t>
      </w:r>
      <w:r>
        <w:rPr>
          <w:rFonts w:ascii="Calibri" w:cs="Calibri" w:eastAsia="Calibri" w:hAnsi="Calibri"/>
          <w:color w:val="1E293B"/>
          <w:sz w:val="20"/>
          <w:szCs w:val="20"/>
        </w:rPr>
        <w:t xml:space="preserve"> Dataset berisi rata-rata biaya per unit (per kunjungan RJTL atau per admisi RITL), bukan rekaman klaim individual. Tidak ada data pasien yang terlibat — privasi terjaga secara by design.</w:t>
      </w:r>
    </w:p>
    <w:p>
      <w:pPr>
        <w:pStyle w:val="ListParagraph"/>
        <w:numPr>
          <w:ilvl w:val="0"/>
          <w:numId w:val="1"/>
        </w:numPr>
        <w:spacing w:after="40" w:before="40"/>
      </w:pPr>
      <w:r>
        <w:rPr>
          <w:rFonts w:ascii="Calibri" w:cs="Calibri" w:eastAsia="Calibri" w:hAnsi="Calibri"/>
          <w:b/>
          <w:bCs/>
          <w:color w:val="1E293B"/>
          <w:sz w:val="20"/>
          <w:szCs w:val="20"/>
        </w:rPr>
        <w:t xml:space="preserve">Publik dan dapat diverifikasi.</w:t>
      </w:r>
      <w:r>
        <w:rPr>
          <w:rFonts w:ascii="Calibri" w:cs="Calibri" w:eastAsia="Calibri" w:hAnsi="Calibri"/>
          <w:color w:val="1E293B"/>
          <w:sz w:val="20"/>
          <w:szCs w:val="20"/>
        </w:rPr>
        <w:t xml:space="preserve"> Seluruh dataset dapat diunduh bebas dari data.bpjs-kesehatan.go.id. Setiap angka dalam model ini dapat divalidasi secara independen.</w:t>
      </w:r>
    </w:p>
    <w:p>
      <w:pPr>
        <w:pStyle w:val="ListParagraph"/>
        <w:numPr>
          <w:ilvl w:val="0"/>
          <w:numId w:val="1"/>
        </w:numPr>
        <w:spacing w:after="40" w:before="40"/>
      </w:pPr>
      <w:r>
        <w:rPr>
          <w:rFonts w:ascii="Calibri" w:cs="Calibri" w:eastAsia="Calibri" w:hAnsi="Calibri"/>
          <w:b/>
          <w:bCs/>
          <w:color w:val="1E293B"/>
          <w:sz w:val="20"/>
          <w:szCs w:val="20"/>
        </w:rPr>
        <w:t xml:space="preserve">Berbasis tahun 2014–2018.</w:t>
      </w:r>
      <w:r>
        <w:rPr>
          <w:rFonts w:ascii="Calibri" w:cs="Calibri" w:eastAsia="Calibri" w:hAnsi="Calibri"/>
          <w:color w:val="1E293B"/>
          <w:sz w:val="20"/>
          <w:szCs w:val="20"/>
        </w:rPr>
        <w:t xml:space="preserve"> Data adalah snapshot historis. Angka absolutnya telah berubah karena inflasi biaya kesehatan, namun pola relatif antar-provinsi dan antar-kelas diasumsikan masih representatif sebagai baseline struktural.</w:t>
      </w:r>
    </w:p>
    <w:p>
      <w:pPr>
        <w:pStyle w:val="ListParagraph"/>
        <w:numPr>
          <w:ilvl w:val="0"/>
          <w:numId w:val="1"/>
        </w:numPr>
        <w:spacing w:after="40" w:before="40"/>
      </w:pPr>
      <w:r>
        <w:rPr>
          <w:rFonts w:ascii="Calibri" w:cs="Calibri" w:eastAsia="Calibri" w:hAnsi="Calibri"/>
          <w:b/>
          <w:bCs/>
          <w:color w:val="1E293B"/>
          <w:sz w:val="20"/>
          <w:szCs w:val="20"/>
        </w:rPr>
        <w:t xml:space="preserve">Nasional, bukan per faskes.</w:t>
      </w:r>
      <w:r>
        <w:rPr>
          <w:rFonts w:ascii="Calibri" w:cs="Calibri" w:eastAsia="Calibri" w:hAnsi="Calibri"/>
          <w:color w:val="1E293B"/>
          <w:sz w:val="20"/>
          <w:szCs w:val="20"/>
        </w:rPr>
        <w:t xml:space="preserve"> Matrix ini adalah referensi makro. Tidak mencerminkan pola biaya spesifik satu rumah sakit — oleh karena itu dalam implementasi, threshold dikalibrasi per faskes (lihat Bagian 4).</w:t>
      </w:r>
    </w:p>
    <w:p>
      <w:pPr>
        <w:spacing w:after="60" w:before="60"/>
      </w:pPr>
      <w:r>
        <w:t xml:space="preserve"/>
      </w:r>
    </w:p>
    <w:p>
      <w:pPr>
        <w:pStyle w:val="Heading1"/>
        <w:spacing w:after="120" w:before="360"/>
        <w:rPr>
          <w:rFonts w:ascii="Calibri" w:cs="Calibri" w:eastAsia="Calibri" w:hAnsi="Calibri"/>
          <w:b/>
          <w:bCs/>
          <w:color w:val="0C2461"/>
          <w:sz w:val="28"/>
          <w:szCs w:val="28"/>
        </w:rPr>
      </w:pPr>
      <w:r>
        <w:t xml:space="preserve">3. Konstruksi Expected Cost Matrix</w:t>
      </w:r>
    </w:p>
    <w:p>
      <w:pPr>
        <w:pStyle w:val="Heading2"/>
        <w:spacing w:after="80" w:before="280"/>
      </w:pPr>
      <w:r>
        <w:rPr>
          <w:rFonts w:ascii="Calibri" w:cs="Calibri" w:eastAsia="Calibri" w:hAnsi="Calibri"/>
          <w:b/>
          <w:bCs/>
          <w:color w:val="0C2461"/>
          <w:sz w:val="24"/>
          <w:szCs w:val="24"/>
        </w:rPr>
        <w:t xml:space="preserve">3.1 Dimensi Matrix</w:t>
      </w:r>
    </w:p>
    <w:p>
      <w:pPr>
        <w:spacing w:after="80" w:before="80" w:line="320" w:lineRule="auto"/>
        <w:jc w:val="both"/>
      </w:pPr>
      <w:r>
        <w:rPr>
          <w:rFonts w:ascii="Calibri" w:cs="Calibri" w:eastAsia="Calibri" w:hAnsi="Calibri"/>
          <w:color w:val="1E293B"/>
          <w:sz w:val="20"/>
          <w:szCs w:val="20"/>
        </w:rPr>
        <w:t xml:space="preserve">Expected Cost Matrix adalah struktur data tiga dimensi:</w:t>
      </w:r>
    </w:p>
    <w:p>
      <w:pPr>
        <w:spacing w:after="60" w:before="60"/>
      </w:pPr>
      <w:r>
        <w:t xml:space="preserve"/>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2000"/>
        <w:gridCol w:w="3500"/>
        <w:gridCol w:w="3500"/>
      </w:tblGrid>
      <w:tr>
        <w:tc>
          <w:tcPr>
            <w:tcW w:type="dxa" w:w="20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Dimensi</w:t>
            </w:r>
          </w:p>
        </w:tc>
        <w:tc>
          <w:tcPr>
            <w:tcW w:type="dxa" w:w="35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Nilai Mungkin</w:t>
            </w:r>
          </w:p>
        </w:tc>
        <w:tc>
          <w:tcPr>
            <w:tcW w:type="dxa" w:w="35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Sumber</w:t>
            </w:r>
          </w:p>
        </w:tc>
      </w:tr>
      <w:tr>
        <w:tc>
          <w:tcPr>
            <w:tcW w:type="dxa" w:w="2000"/>
            <w:tcMar>
              <w:top w:type="dxa" w:w="60"/>
              <w:left w:type="dxa" w:w="80"/>
              <w:bottom w:type="dxa" w:w="60"/>
              <w:right w:type="dxa" w:w="80"/>
            </w:tcMar>
            <w:vAlign w:val="center"/>
          </w:tcPr>
          <w:p>
            <w:pPr>
              <w:spacing w:after="60" w:before="60"/>
              <w:jc w:val="left"/>
            </w:pPr>
            <w:r>
              <w:rPr>
                <w:rFonts w:ascii="Calibri" w:cs="Calibri" w:eastAsia="Calibri" w:hAnsi="Calibri"/>
                <w:b/>
                <w:bCs/>
                <w:color w:val="1E293B"/>
                <w:sz w:val="18"/>
                <w:szCs w:val="18"/>
              </w:rPr>
              <w:t xml:space="preserve">Provinsi</w:t>
            </w:r>
          </w:p>
        </w:tc>
        <w:tc>
          <w:tcPr>
            <w:tcW w:type="dxa" w:w="35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34 provinsi Indonesia (sesuai data DJSN 2018)</w:t>
            </w:r>
          </w:p>
        </w:tc>
        <w:tc>
          <w:tcPr>
            <w:tcW w:type="dxa" w:w="35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Tabel 6.2.3 &amp; 6.3.3</w:t>
            </w:r>
          </w:p>
        </w:tc>
      </w:tr>
      <w:tr>
        <w:tc>
          <w:tcPr>
            <w:tcW w:type="dxa" w:w="20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1E293B"/>
                <w:sz w:val="18"/>
                <w:szCs w:val="18"/>
              </w:rPr>
              <w:t xml:space="preserve">Kelas Perawatan</w:t>
            </w:r>
          </w:p>
        </w:tc>
        <w:tc>
          <w:tcPr>
            <w:tcW w:type="dxa" w:w="35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Kelas 1, Kelas 2, Kelas 3</w:t>
            </w:r>
          </w:p>
        </w:tc>
        <w:tc>
          <w:tcPr>
            <w:tcW w:type="dxa" w:w="35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Tabel 6.2.1 &amp; 6.3.1</w:t>
            </w:r>
          </w:p>
        </w:tc>
      </w:tr>
      <w:tr>
        <w:tc>
          <w:tcPr>
            <w:tcW w:type="dxa" w:w="2000"/>
            <w:tcMar>
              <w:top w:type="dxa" w:w="60"/>
              <w:left w:type="dxa" w:w="80"/>
              <w:bottom w:type="dxa" w:w="60"/>
              <w:right w:type="dxa" w:w="80"/>
            </w:tcMar>
            <w:vAlign w:val="center"/>
          </w:tcPr>
          <w:p>
            <w:pPr>
              <w:spacing w:after="60" w:before="60"/>
              <w:jc w:val="left"/>
            </w:pPr>
            <w:r>
              <w:rPr>
                <w:rFonts w:ascii="Calibri" w:cs="Calibri" w:eastAsia="Calibri" w:hAnsi="Calibri"/>
                <w:b/>
                <w:bCs/>
                <w:color w:val="1E293B"/>
                <w:sz w:val="18"/>
                <w:szCs w:val="18"/>
              </w:rPr>
              <w:t xml:space="preserve">Kelompok Usia</w:t>
            </w:r>
          </w:p>
        </w:tc>
        <w:tc>
          <w:tcPr>
            <w:tcW w:type="dxa" w:w="35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Bayi (0), Balita (1–4), Anak (5–14), Remaja (15–19), Dewasa (20–44), Madya (45–54), Lansia (55–64), Lansia+ (65+)</w:t>
            </w:r>
          </w:p>
        </w:tc>
        <w:tc>
          <w:tcPr>
            <w:tcW w:type="dxa" w:w="35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Tabel 6.2.2 &amp; 6.3.2</w:t>
            </w:r>
          </w:p>
        </w:tc>
      </w:tr>
    </w:tbl>
    <w:p>
      <w:pPr>
        <w:spacing w:after="60" w:before="60"/>
      </w:pPr>
      <w:r>
        <w:t xml:space="preserve"/>
      </w:r>
    </w:p>
    <w:p>
      <w:pPr>
        <w:spacing w:after="80" w:before="80" w:line="320" w:lineRule="auto"/>
        <w:jc w:val="both"/>
      </w:pPr>
      <w:r>
        <w:rPr>
          <w:rFonts w:ascii="Calibri" w:cs="Calibri" w:eastAsia="Calibri" w:hAnsi="Calibri"/>
          <w:color w:val="1E293B"/>
          <w:sz w:val="20"/>
          <w:szCs w:val="20"/>
        </w:rPr>
        <w:t xml:space="preserve">Setiap sel dalam matrix menyimpan tiga nilai: </w:t>
      </w:r>
      <w:r>
        <w:rPr>
          <w:rFonts w:ascii="Calibri" w:cs="Calibri" w:eastAsia="Calibri" w:hAnsi="Calibri"/>
          <w:b/>
          <w:bCs/>
          <w:color w:val="1E293B"/>
          <w:sz w:val="20"/>
          <w:szCs w:val="20"/>
        </w:rPr>
        <w:t xml:space="preserve">mean (μ)</w:t>
      </w:r>
      <w:r>
        <w:rPr>
          <w:rFonts w:ascii="Calibri" w:cs="Calibri" w:eastAsia="Calibri" w:hAnsi="Calibri"/>
          <w:color w:val="1E293B"/>
          <w:sz w:val="20"/>
          <w:szCs w:val="20"/>
        </w:rPr>
        <w:t xml:space="preserve">, </w:t>
      </w:r>
      <w:r>
        <w:rPr>
          <w:rFonts w:ascii="Calibri" w:cs="Calibri" w:eastAsia="Calibri" w:hAnsi="Calibri"/>
          <w:b/>
          <w:bCs/>
          <w:color w:val="1E293B"/>
          <w:sz w:val="20"/>
          <w:szCs w:val="20"/>
        </w:rPr>
        <w:t xml:space="preserve">standar deviasi (σ)</w:t>
      </w:r>
      <w:r>
        <w:rPr>
          <w:rFonts w:ascii="Calibri" w:cs="Calibri" w:eastAsia="Calibri" w:hAnsi="Calibri"/>
          <w:color w:val="1E293B"/>
          <w:sz w:val="20"/>
          <w:szCs w:val="20"/>
        </w:rPr>
        <w:t xml:space="preserve">, dan </w:t>
      </w:r>
      <w:r>
        <w:rPr>
          <w:rFonts w:ascii="Calibri" w:cs="Calibri" w:eastAsia="Calibri" w:hAnsi="Calibri"/>
          <w:b/>
          <w:bCs/>
          <w:color w:val="1E293B"/>
          <w:sz w:val="20"/>
          <w:szCs w:val="20"/>
        </w:rPr>
        <w:t xml:space="preserve">jumlah observasi (n)</w:t>
      </w:r>
      <w:r>
        <w:rPr>
          <w:rFonts w:ascii="Calibri" w:cs="Calibri" w:eastAsia="Calibri" w:hAnsi="Calibri"/>
          <w:color w:val="1E293B"/>
          <w:sz w:val="20"/>
          <w:szCs w:val="20"/>
        </w:rPr>
        <w:t xml:space="preserve"> yang menjadi dasar estimasi.</w:t>
      </w:r>
    </w:p>
    <w:p>
      <w:pPr>
        <w:pStyle w:val="Heading2"/>
        <w:spacing w:after="80" w:before="280"/>
      </w:pPr>
      <w:r>
        <w:rPr>
          <w:rFonts w:ascii="Calibri" w:cs="Calibri" w:eastAsia="Calibri" w:hAnsi="Calibri"/>
          <w:b/>
          <w:bCs/>
          <w:color w:val="0C2461"/>
          <w:sz w:val="24"/>
          <w:szCs w:val="24"/>
        </w:rPr>
        <w:t xml:space="preserve">3.2 Pipeline Konstruksi</w:t>
      </w:r>
    </w:p>
    <w:p>
      <w:pPr>
        <w:pStyle w:val="Heading3"/>
        <w:spacing w:after="60" w:before="200"/>
      </w:pPr>
      <w:r>
        <w:rPr>
          <w:rFonts w:ascii="Calibri" w:cs="Calibri" w:eastAsia="Calibri" w:hAnsi="Calibri"/>
          <w:b/>
          <w:bCs/>
          <w:color w:val="00897B"/>
          <w:sz w:val="22"/>
          <w:szCs w:val="22"/>
        </w:rPr>
        <w:t xml:space="preserve">Langkah 1 — Ingest &amp; Normalisasi</w:t>
      </w:r>
    </w:p>
    <w:p>
      <w:pPr>
        <w:spacing w:after="80" w:before="80" w:line="320" w:lineRule="auto"/>
        <w:jc w:val="both"/>
      </w:pPr>
      <w:r>
        <w:rPr>
          <w:rFonts w:ascii="Calibri" w:cs="Calibri" w:eastAsia="Calibri" w:hAnsi="Calibri"/>
          <w:color w:val="1E293B"/>
          <w:sz w:val="20"/>
          <w:szCs w:val="20"/>
        </w:rPr>
        <w:t xml:space="preserve">Enam file Excel DJSN dibaca dan dinormalisasi ke dalam skema tabel tunggal dengan kolom:</w:t>
      </w:r>
    </w:p>
    <w:p>
      <w:pPr>
        <w:pStyle w:val="ListParagraph"/>
        <w:numPr>
          <w:ilvl w:val="0"/>
          <w:numId w:val="1"/>
        </w:numPr>
        <w:spacing w:after="40" w:before="40"/>
      </w:pPr>
      <w:r>
        <w:rPr>
          <w:rFonts w:ascii="Courier New" w:cs="Courier New" w:eastAsia="Courier New" w:hAnsi="Courier New"/>
          <w:b/>
          <w:bCs/>
          <w:color w:val="00897B"/>
          <w:sz w:val="18"/>
          <w:szCs w:val="18"/>
        </w:rPr>
        <w:t xml:space="preserve">jenis_pelayanan</w:t>
      </w:r>
      <w:r>
        <w:rPr>
          <w:rFonts w:ascii="Calibri" w:cs="Calibri" w:eastAsia="Calibri" w:hAnsi="Calibri"/>
          <w:color w:val="1E293B"/>
          <w:sz w:val="20"/>
          <w:szCs w:val="20"/>
        </w:rPr>
        <w:t xml:space="preserve"> (RJTL | RITL)</w:t>
      </w:r>
    </w:p>
    <w:p>
      <w:pPr>
        <w:pStyle w:val="ListParagraph"/>
        <w:numPr>
          <w:ilvl w:val="0"/>
          <w:numId w:val="1"/>
        </w:numPr>
        <w:spacing w:after="40" w:before="40"/>
      </w:pPr>
      <w:r>
        <w:rPr>
          <w:rFonts w:ascii="Courier New" w:cs="Courier New" w:eastAsia="Courier New" w:hAnsi="Courier New"/>
          <w:b/>
          <w:bCs/>
          <w:color w:val="00897B"/>
          <w:sz w:val="18"/>
          <w:szCs w:val="18"/>
        </w:rPr>
        <w:t xml:space="preserve">provinsi</w:t>
      </w:r>
      <w:r>
        <w:rPr>
          <w:rFonts w:ascii="Calibri" w:cs="Calibri" w:eastAsia="Calibri" w:hAnsi="Calibri"/>
          <w:color w:val="1E293B"/>
          <w:sz w:val="20"/>
          <w:szCs w:val="20"/>
        </w:rPr>
        <w:t xml:space="preserve"> (kode ISO 3166-2:ID)</w:t>
      </w:r>
    </w:p>
    <w:p>
      <w:pPr>
        <w:pStyle w:val="ListParagraph"/>
        <w:numPr>
          <w:ilvl w:val="0"/>
          <w:numId w:val="1"/>
        </w:numPr>
        <w:spacing w:after="40" w:before="40"/>
      </w:pPr>
      <w:r>
        <w:rPr>
          <w:rFonts w:ascii="Courier New" w:cs="Courier New" w:eastAsia="Courier New" w:hAnsi="Courier New"/>
          <w:b/>
          <w:bCs/>
          <w:color w:val="00897B"/>
          <w:sz w:val="18"/>
          <w:szCs w:val="18"/>
        </w:rPr>
        <w:t xml:space="preserve">kelas</w:t>
      </w:r>
      <w:r>
        <w:rPr>
          <w:rFonts w:ascii="Calibri" w:cs="Calibri" w:eastAsia="Calibri" w:hAnsi="Calibri"/>
          <w:color w:val="1E293B"/>
          <w:sz w:val="20"/>
          <w:szCs w:val="20"/>
        </w:rPr>
        <w:t xml:space="preserve"> (1 | 2 | 3)</w:t>
      </w:r>
    </w:p>
    <w:p>
      <w:pPr>
        <w:pStyle w:val="ListParagraph"/>
        <w:numPr>
          <w:ilvl w:val="0"/>
          <w:numId w:val="1"/>
        </w:numPr>
        <w:spacing w:after="40" w:before="40"/>
      </w:pPr>
      <w:r>
        <w:rPr>
          <w:rFonts w:ascii="Courier New" w:cs="Courier New" w:eastAsia="Courier New" w:hAnsi="Courier New"/>
          <w:b/>
          <w:bCs/>
          <w:color w:val="00897B"/>
          <w:sz w:val="18"/>
          <w:szCs w:val="18"/>
        </w:rPr>
        <w:t xml:space="preserve">kelompok_usia</w:t>
      </w:r>
      <w:r>
        <w:rPr>
          <w:rFonts w:ascii="Calibri" w:cs="Calibri" w:eastAsia="Calibri" w:hAnsi="Calibri"/>
          <w:color w:val="1E293B"/>
          <w:sz w:val="20"/>
          <w:szCs w:val="20"/>
        </w:rPr>
        <w:t xml:space="preserve"> (kode kelompok)</w:t>
      </w:r>
    </w:p>
    <w:p>
      <w:pPr>
        <w:pStyle w:val="ListParagraph"/>
        <w:numPr>
          <w:ilvl w:val="0"/>
          <w:numId w:val="1"/>
        </w:numPr>
        <w:spacing w:after="40" w:before="40"/>
      </w:pPr>
      <w:r>
        <w:rPr>
          <w:rFonts w:ascii="Courier New" w:cs="Courier New" w:eastAsia="Courier New" w:hAnsi="Courier New"/>
          <w:b/>
          <w:bCs/>
          <w:color w:val="00897B"/>
          <w:sz w:val="18"/>
          <w:szCs w:val="18"/>
        </w:rPr>
        <w:t xml:space="preserve">jenis_kelamin</w:t>
      </w:r>
      <w:r>
        <w:rPr>
          <w:rFonts w:ascii="Calibri" w:cs="Calibri" w:eastAsia="Calibri" w:hAnsi="Calibri"/>
          <w:color w:val="1E293B"/>
          <w:sz w:val="20"/>
          <w:szCs w:val="20"/>
        </w:rPr>
        <w:t xml:space="preserve"> (L | P | total)</w:t>
      </w:r>
    </w:p>
    <w:p>
      <w:pPr>
        <w:pStyle w:val="ListParagraph"/>
        <w:numPr>
          <w:ilvl w:val="0"/>
          <w:numId w:val="1"/>
        </w:numPr>
        <w:spacing w:after="40" w:before="40"/>
      </w:pPr>
      <w:r>
        <w:rPr>
          <w:rFonts w:ascii="Courier New" w:cs="Courier New" w:eastAsia="Courier New" w:hAnsi="Courier New"/>
          <w:b/>
          <w:bCs/>
          <w:color w:val="00897B"/>
          <w:sz w:val="18"/>
          <w:szCs w:val="18"/>
        </w:rPr>
        <w:t xml:space="preserve">tahun</w:t>
      </w:r>
      <w:r>
        <w:rPr>
          <w:rFonts w:ascii="Calibri" w:cs="Calibri" w:eastAsia="Calibri" w:hAnsi="Calibri"/>
          <w:color w:val="1E293B"/>
          <w:sz w:val="20"/>
          <w:szCs w:val="20"/>
        </w:rPr>
        <w:t xml:space="preserve"> (2014–2018)</w:t>
      </w:r>
    </w:p>
    <w:p>
      <w:pPr>
        <w:pStyle w:val="ListParagraph"/>
        <w:numPr>
          <w:ilvl w:val="0"/>
          <w:numId w:val="1"/>
        </w:numPr>
        <w:spacing w:after="40" w:before="40"/>
      </w:pPr>
      <w:r>
        <w:rPr>
          <w:rFonts w:ascii="Courier New" w:cs="Courier New" w:eastAsia="Courier New" w:hAnsi="Courier New"/>
          <w:b/>
          <w:bCs/>
          <w:color w:val="00897B"/>
          <w:sz w:val="18"/>
          <w:szCs w:val="18"/>
        </w:rPr>
        <w:t xml:space="preserve">rerata_biaya</w:t>
      </w:r>
      <w:r>
        <w:rPr>
          <w:rFonts w:ascii="Calibri" w:cs="Calibri" w:eastAsia="Calibri" w:hAnsi="Calibri"/>
          <w:color w:val="1E293B"/>
          <w:sz w:val="20"/>
          <w:szCs w:val="20"/>
        </w:rPr>
        <w:t xml:space="preserve"> (Rp per unit layanan)</w:t>
      </w:r>
    </w:p>
    <w:p>
      <w:pPr>
        <w:pStyle w:val="Heading3"/>
        <w:spacing w:after="60" w:before="200"/>
      </w:pPr>
      <w:r>
        <w:rPr>
          <w:rFonts w:ascii="Calibri" w:cs="Calibri" w:eastAsia="Calibri" w:hAnsi="Calibri"/>
          <w:b/>
          <w:bCs/>
          <w:color w:val="00897B"/>
          <w:sz w:val="22"/>
          <w:szCs w:val="22"/>
        </w:rPr>
        <w:t xml:space="preserve">Langkah 2 — Agregasi Multi-Dimensi</w:t>
      </w:r>
    </w:p>
    <w:p>
      <w:pPr>
        <w:spacing w:after="80" w:before="80" w:line="320" w:lineRule="auto"/>
        <w:jc w:val="both"/>
      </w:pPr>
      <w:r>
        <w:rPr>
          <w:rFonts w:ascii="Calibri" w:cs="Calibri" w:eastAsia="Calibri" w:hAnsi="Calibri"/>
          <w:color w:val="1E293B"/>
          <w:sz w:val="20"/>
          <w:szCs w:val="20"/>
        </w:rPr>
        <w:t xml:space="preserve">Dataset dikelompokkan berdasarkan kombinasi </w:t>
      </w:r>
      <w:r>
        <w:rPr>
          <w:rFonts w:ascii="Calibri" w:cs="Calibri" w:eastAsia="Calibri" w:hAnsi="Calibri"/>
          <w:b/>
          <w:bCs/>
          <w:color w:val="1E293B"/>
          <w:sz w:val="20"/>
          <w:szCs w:val="20"/>
        </w:rPr>
        <w:t xml:space="preserve">(jenis_pelayanan, provinsi, kelas, kelompok_usia)</w:t>
      </w:r>
      <w:r>
        <w:rPr>
          <w:rFonts w:ascii="Calibri" w:cs="Calibri" w:eastAsia="Calibri" w:hAnsi="Calibri"/>
          <w:color w:val="1E293B"/>
          <w:sz w:val="20"/>
          <w:szCs w:val="20"/>
        </w:rPr>
        <w:t xml:space="preserve"> dan dihitung rata-rata tertimbang lintas tahun 2014–2018. Bobot menggunakan jumlah kunjungan/admisi per tahun bila tersedia; bila tidak, menggunakan rata-rata sederhana.</w:t>
      </w:r>
    </w:p>
    <w:p>
      <w:pPr>
        <w:pStyle w:val="Heading3"/>
        <w:spacing w:after="60" w:before="200"/>
      </w:pPr>
      <w:r>
        <w:rPr>
          <w:rFonts w:ascii="Calibri" w:cs="Calibri" w:eastAsia="Calibri" w:hAnsi="Calibri"/>
          <w:b/>
          <w:bCs/>
          <w:color w:val="00897B"/>
          <w:sz w:val="22"/>
          <w:szCs w:val="22"/>
        </w:rPr>
        <w:t xml:space="preserve">Langkah 3 — Estimasi Parameter Distribusi</w:t>
      </w:r>
    </w:p>
    <w:p>
      <w:pPr>
        <w:spacing w:after="80" w:before="80" w:line="320" w:lineRule="auto"/>
        <w:jc w:val="both"/>
      </w:pPr>
      <w:r>
        <w:rPr>
          <w:rFonts w:ascii="Calibri" w:cs="Calibri" w:eastAsia="Calibri" w:hAnsi="Calibri"/>
          <w:color w:val="1E293B"/>
          <w:sz w:val="20"/>
          <w:szCs w:val="20"/>
        </w:rPr>
        <w:t xml:space="preserve">Untuk setiap sel dimensi, dihitung:</w:t>
      </w:r>
    </w:p>
    <w:p>
      <w:pPr>
        <w:pStyle w:val="ListParagraph"/>
        <w:numPr>
          <w:ilvl w:val="0"/>
          <w:numId w:val="1"/>
        </w:numPr>
        <w:spacing w:after="40" w:before="40"/>
      </w:pPr>
      <w:r>
        <w:rPr>
          <w:rFonts w:ascii="Calibri" w:cs="Calibri" w:eastAsia="Calibri" w:hAnsi="Calibri"/>
          <w:b/>
          <w:bCs/>
          <w:color w:val="1E293B"/>
          <w:sz w:val="20"/>
          <w:szCs w:val="20"/>
        </w:rPr>
        <w:t xml:space="preserve">μ (mean)</w:t>
      </w:r>
      <w:r>
        <w:rPr>
          <w:rFonts w:ascii="Calibri" w:cs="Calibri" w:eastAsia="Calibri" w:hAnsi="Calibri"/>
          <w:color w:val="1E293B"/>
          <w:sz w:val="20"/>
          <w:szCs w:val="20"/>
        </w:rPr>
        <w:t xml:space="preserve"> — rata-rata biaya yang diharapkan</w:t>
      </w:r>
    </w:p>
    <w:p>
      <w:pPr>
        <w:pStyle w:val="ListParagraph"/>
        <w:numPr>
          <w:ilvl w:val="0"/>
          <w:numId w:val="1"/>
        </w:numPr>
        <w:spacing w:after="40" w:before="40"/>
      </w:pPr>
      <w:r>
        <w:rPr>
          <w:rFonts w:ascii="Calibri" w:cs="Calibri" w:eastAsia="Calibri" w:hAnsi="Calibri"/>
          <w:b/>
          <w:bCs/>
          <w:color w:val="1E293B"/>
          <w:sz w:val="20"/>
          <w:szCs w:val="20"/>
        </w:rPr>
        <w:t xml:space="preserve">σ (standar deviasi)</w:t>
      </w:r>
      <w:r>
        <w:rPr>
          <w:rFonts w:ascii="Calibri" w:cs="Calibri" w:eastAsia="Calibri" w:hAnsi="Calibri"/>
          <w:color w:val="1E293B"/>
          <w:sz w:val="20"/>
          <w:szCs w:val="20"/>
        </w:rPr>
        <w:t xml:space="preserve"> — sebaran biaya yang wajar</w:t>
      </w:r>
    </w:p>
    <w:p>
      <w:pPr>
        <w:pStyle w:val="ListParagraph"/>
        <w:numPr>
          <w:ilvl w:val="0"/>
          <w:numId w:val="1"/>
        </w:numPr>
        <w:spacing w:after="40" w:before="40"/>
      </w:pPr>
      <w:r>
        <w:rPr>
          <w:rFonts w:ascii="Calibri" w:cs="Calibri" w:eastAsia="Calibri" w:hAnsi="Calibri"/>
          <w:b/>
          <w:bCs/>
          <w:color w:val="1E293B"/>
          <w:sz w:val="20"/>
          <w:szCs w:val="20"/>
        </w:rPr>
        <w:t xml:space="preserve">n</w:t>
      </w:r>
      <w:r>
        <w:rPr>
          <w:rFonts w:ascii="Calibri" w:cs="Calibri" w:eastAsia="Calibri" w:hAnsi="Calibri"/>
          <w:color w:val="1E293B"/>
          <w:sz w:val="20"/>
          <w:szCs w:val="20"/>
        </w:rPr>
        <w:t xml:space="preserve"> — jumlah data poin yang mendasari estimasi (relevan untuk CI)</w:t>
      </w:r>
    </w:p>
    <w:p>
      <w:pPr>
        <w:spacing w:after="60" w:before="60"/>
      </w:pPr>
      <w:r>
        <w:t xml:space="preserve"/>
      </w:r>
    </w:p>
    <w:p>
      <w:pPr>
        <w:pBdr>
          <w:left w:val="single" w:color="F59E0B" w:sz="4" w:space="4"/>
        </w:pBdr>
        <w:spacing w:after="120" w:before="120"/>
        <w:ind w:left="200"/>
      </w:pPr>
      <w:r>
        <w:rPr>
          <w:rFonts w:ascii="Calibri" w:cs="Calibri" w:eastAsia="Calibri" w:hAnsi="Calibri"/>
          <w:i/>
          <w:iCs/>
          <w:color w:val="64748B"/>
          <w:sz w:val="18"/>
          <w:szCs w:val="18"/>
        </w:rPr>
        <w:t xml:space="preserve">📌  Catatan implementasi: Karena data DJSN adalah agregat (bukan individual), σ dihitung dari varians lintas tahun dan lintas subkategori. Ini adalah pendekatan proxy — bukan distribusi sampel individu — dan memberikan σ yang lebih konservatif (lebih besar) dari distribusi sebenarnya. Artinya threshold lebih longgar, yang sesuai dengan prinsip kehati-hatian dalam deteksi sinyal risiko.</w:t>
      </w:r>
    </w:p>
    <w:p>
      <w:pPr>
        <w:spacing w:after="60" w:before="60"/>
      </w:pPr>
      <w:r>
        <w:t xml:space="preserve"/>
      </w:r>
    </w:p>
    <w:p>
      <w:pPr>
        <w:pStyle w:val="Heading3"/>
        <w:spacing w:after="60" w:before="200"/>
      </w:pPr>
      <w:r>
        <w:rPr>
          <w:rFonts w:ascii="Calibri" w:cs="Calibri" w:eastAsia="Calibri" w:hAnsi="Calibri"/>
          <w:b/>
          <w:bCs/>
          <w:color w:val="00897B"/>
          <w:sz w:val="22"/>
          <w:szCs w:val="22"/>
        </w:rPr>
        <w:t xml:space="preserve">Langkah 4 — Penghitungan Faktor Koreksi Regional &amp; Demografis</w:t>
      </w:r>
    </w:p>
    <w:p>
      <w:pPr>
        <w:spacing w:after="80" w:before="80" w:line="320" w:lineRule="auto"/>
        <w:jc w:val="both"/>
      </w:pPr>
      <w:r>
        <w:rPr>
          <w:rFonts w:ascii="Calibri" w:cs="Calibri" w:eastAsia="Calibri" w:hAnsi="Calibri"/>
          <w:color w:val="1E293B"/>
          <w:sz w:val="20"/>
          <w:szCs w:val="20"/>
        </w:rPr>
        <w:t xml:space="preserve">Karena dataset berbeda menyediakan dimensi berbeda, TilikKlaim menghitung </w:t>
      </w:r>
      <w:r>
        <w:rPr>
          <w:rFonts w:ascii="Calibri" w:cs="Calibri" w:eastAsia="Calibri" w:hAnsi="Calibri"/>
          <w:b/>
          <w:bCs/>
          <w:color w:val="1E293B"/>
          <w:sz w:val="20"/>
          <w:szCs w:val="20"/>
        </w:rPr>
        <w:t xml:space="preserve">faktor koreksi multiplikatif</w:t>
      </w:r>
      <w:r>
        <w:rPr>
          <w:rFonts w:ascii="Calibri" w:cs="Calibri" w:eastAsia="Calibri" w:hAnsi="Calibri"/>
          <w:color w:val="1E293B"/>
          <w:sz w:val="20"/>
          <w:szCs w:val="20"/>
        </w:rPr>
        <w:t xml:space="preserve"> untuk menggabungkan sinyal provinsi, kelas, dan usia ke dalam satu estimasi terpadu:</w:t>
      </w:r>
    </w:p>
    <w:p>
      <w:pPr>
        <w:spacing w:after="60" w:before="60"/>
      </w:pPr>
      <w:r>
        <w:t xml:space="preserve"/>
      </w:r>
    </w:p>
    <w:p>
      <w:pPr>
        <w:pBdr>
          <w:top w:val="single" w:color="CBD5E1" w:sz="2"/>
          <w:bottom w:val="single" w:color="CBD5E1" w:sz="2"/>
        </w:pBdr>
        <w:shd w:fill="E0F2F1" w:color="auto" w:val="clear"/>
        <w:spacing w:after="120" w:before="120"/>
        <w:ind w:left="200" w:right="200"/>
        <w:jc w:val="center"/>
      </w:pPr>
      <w:r>
        <w:rPr>
          <w:rFonts w:ascii="Courier New" w:cs="Courier New" w:eastAsia="Courier New" w:hAnsi="Courier New"/>
          <w:b/>
          <w:bCs/>
          <w:color w:val="00897B"/>
          <w:sz w:val="18"/>
          <w:szCs w:val="18"/>
        </w:rPr>
        <w:t xml:space="preserve">E(biaya | provinsi p, kelas k, usia a) = μ_nasional × f_provinsi(p) × f_kelas(k) × f_usia(a)</w:t>
      </w:r>
    </w:p>
    <w:p>
      <w:pPr>
        <w:spacing w:after="60" w:before="60"/>
      </w:pPr>
      <w:r>
        <w:t xml:space="preserve"/>
      </w:r>
    </w:p>
    <w:p>
      <w:pPr>
        <w:spacing w:after="80" w:before="80" w:line="320" w:lineRule="auto"/>
        <w:jc w:val="both"/>
      </w:pPr>
      <w:r>
        <w:rPr>
          <w:rFonts w:ascii="Calibri" w:cs="Calibri" w:eastAsia="Calibri" w:hAnsi="Calibri"/>
          <w:color w:val="1E293B"/>
          <w:sz w:val="20"/>
          <w:szCs w:val="20"/>
        </w:rPr>
        <w:t xml:space="preserve">Di mana:</w:t>
      </w:r>
    </w:p>
    <w:p>
      <w:pPr>
        <w:pStyle w:val="ListParagraph"/>
        <w:numPr>
          <w:ilvl w:val="0"/>
          <w:numId w:val="1"/>
        </w:numPr>
        <w:spacing w:after="40" w:before="40"/>
      </w:pPr>
      <w:r>
        <w:rPr>
          <w:rFonts w:ascii="Courier New" w:cs="Courier New" w:eastAsia="Courier New" w:hAnsi="Courier New"/>
          <w:b/>
          <w:bCs/>
          <w:color w:val="00897B"/>
          <w:sz w:val="18"/>
          <w:szCs w:val="18"/>
        </w:rPr>
        <w:t xml:space="preserve">f_provinsi(p)</w:t>
      </w:r>
      <w:r>
        <w:rPr>
          <w:rFonts w:ascii="Calibri" w:cs="Calibri" w:eastAsia="Calibri" w:hAnsi="Calibri"/>
          <w:color w:val="1E293B"/>
          <w:sz w:val="20"/>
          <w:szCs w:val="20"/>
        </w:rPr>
        <w:t xml:space="preserve"> = rasio rerata_biaya_provinsi_p / rerata_biaya_nasional (dari Tabel 6.3.3)</w:t>
      </w:r>
    </w:p>
    <w:p>
      <w:pPr>
        <w:pStyle w:val="ListParagraph"/>
        <w:numPr>
          <w:ilvl w:val="0"/>
          <w:numId w:val="1"/>
        </w:numPr>
        <w:spacing w:after="40" w:before="40"/>
      </w:pPr>
      <w:r>
        <w:rPr>
          <w:rFonts w:ascii="Courier New" w:cs="Courier New" w:eastAsia="Courier New" w:hAnsi="Courier New"/>
          <w:b/>
          <w:bCs/>
          <w:color w:val="00897B"/>
          <w:sz w:val="18"/>
          <w:szCs w:val="18"/>
        </w:rPr>
        <w:t xml:space="preserve">f_kelas(k)</w:t>
      </w:r>
      <w:r>
        <w:rPr>
          <w:rFonts w:ascii="Calibri" w:cs="Calibri" w:eastAsia="Calibri" w:hAnsi="Calibri"/>
          <w:color w:val="1E293B"/>
          <w:sz w:val="20"/>
          <w:szCs w:val="20"/>
        </w:rPr>
        <w:t xml:space="preserve"> = rasio rerata_biaya_kelas_k / rerata_biaya_kelas_rata2 (dari Tabel 6.3.1)</w:t>
      </w:r>
    </w:p>
    <w:p>
      <w:pPr>
        <w:pStyle w:val="ListParagraph"/>
        <w:numPr>
          <w:ilvl w:val="0"/>
          <w:numId w:val="1"/>
        </w:numPr>
        <w:spacing w:after="40" w:before="40"/>
      </w:pPr>
      <w:r>
        <w:rPr>
          <w:rFonts w:ascii="Courier New" w:cs="Courier New" w:eastAsia="Courier New" w:hAnsi="Courier New"/>
          <w:b/>
          <w:bCs/>
          <w:color w:val="00897B"/>
          <w:sz w:val="18"/>
          <w:szCs w:val="18"/>
        </w:rPr>
        <w:t xml:space="preserve">f_usia(a)</w:t>
      </w:r>
      <w:r>
        <w:rPr>
          <w:rFonts w:ascii="Calibri" w:cs="Calibri" w:eastAsia="Calibri" w:hAnsi="Calibri"/>
          <w:color w:val="1E293B"/>
          <w:sz w:val="20"/>
          <w:szCs w:val="20"/>
        </w:rPr>
        <w:t xml:space="preserve"> = rasio rerata_biaya_usia_a / rerata_biaya_semua_usia (dari Tabel 6.3.2)</w:t>
      </w:r>
    </w:p>
    <w:p>
      <w:pPr>
        <w:spacing w:after="60" w:before="60"/>
      </w:pPr>
      <w:r>
        <w:t xml:space="preserve"/>
      </w:r>
    </w:p>
    <w:p>
      <w:pPr>
        <w:pBdr>
          <w:left w:val="single" w:color="F59E0B" w:sz="4" w:space="4"/>
        </w:pBdr>
        <w:spacing w:after="120" w:before="120"/>
        <w:ind w:left="200"/>
      </w:pPr>
      <w:r>
        <w:rPr>
          <w:rFonts w:ascii="Calibri" w:cs="Calibri" w:eastAsia="Calibri" w:hAnsi="Calibri"/>
          <w:i/>
          <w:iCs/>
          <w:color w:val="64748B"/>
          <w:sz w:val="18"/>
          <w:szCs w:val="18"/>
        </w:rPr>
        <w:t xml:space="preserve">📌  Contoh nyata dari data DJSN 2018: f_provinsi(DKI Jakarta) = 7.823.709 / 4.747.547 = 1,648. Artinya klaim dari DKI Jakarta secara baseline wajar 64,8% lebih mahal dari rata-rata nasional sebelum deteksi anomali diterapkan.</w:t>
      </w:r>
    </w:p>
    <w:p>
      <w:pPr>
        <w:spacing w:after="60" w:before="60"/>
      </w:pPr>
      <w:r>
        <w:t xml:space="preserve"/>
      </w:r>
    </w:p>
    <w:p>
      <w:pPr>
        <w:pStyle w:val="Heading1"/>
        <w:spacing w:after="120" w:before="360"/>
        <w:rPr>
          <w:rFonts w:ascii="Calibri" w:cs="Calibri" w:eastAsia="Calibri" w:hAnsi="Calibri"/>
          <w:b/>
          <w:bCs/>
          <w:color w:val="0C2461"/>
          <w:sz w:val="28"/>
          <w:szCs w:val="28"/>
        </w:rPr>
      </w:pPr>
      <w:r>
        <w:t xml:space="preserve">4. Mekanisme Deteksi Inflated Bills</w:t>
      </w:r>
    </w:p>
    <w:p>
      <w:pPr>
        <w:pStyle w:val="Heading2"/>
        <w:spacing w:after="80" w:before="280"/>
      </w:pPr>
      <w:r>
        <w:rPr>
          <w:rFonts w:ascii="Calibri" w:cs="Calibri" w:eastAsia="Calibri" w:hAnsi="Calibri"/>
          <w:b/>
          <w:bCs/>
          <w:color w:val="0C2461"/>
          <w:sz w:val="24"/>
          <w:szCs w:val="24"/>
        </w:rPr>
        <w:t xml:space="preserve">4.1 Aturan Dasar (Rule Engine Deterministik)</w:t>
      </w:r>
    </w:p>
    <w:p>
      <w:pPr>
        <w:spacing w:after="80" w:before="80" w:line="320" w:lineRule="auto"/>
        <w:jc w:val="both"/>
      </w:pPr>
      <w:r>
        <w:rPr>
          <w:rFonts w:ascii="Calibri" w:cs="Calibri" w:eastAsia="Calibri" w:hAnsi="Calibri"/>
          <w:color w:val="1E293B"/>
          <w:sz w:val="20"/>
          <w:szCs w:val="20"/>
        </w:rPr>
        <w:t xml:space="preserve">Sebuah klaim </w:t>
      </w:r>
      <w:r>
        <w:rPr>
          <w:rFonts w:ascii="Calibri" w:cs="Calibri" w:eastAsia="Calibri" w:hAnsi="Calibri"/>
          <w:b/>
          <w:bCs/>
          <w:color w:val="1E293B"/>
          <w:sz w:val="20"/>
          <w:szCs w:val="20"/>
        </w:rPr>
        <w:t xml:space="preserve">C</w:t>
      </w:r>
      <w:r>
        <w:rPr>
          <w:rFonts w:ascii="Calibri" w:cs="Calibri" w:eastAsia="Calibri" w:hAnsi="Calibri"/>
          <w:color w:val="1E293B"/>
          <w:sz w:val="20"/>
          <w:szCs w:val="20"/>
        </w:rPr>
        <w:t xml:space="preserve"> dengan biaya </w:t>
      </w:r>
      <w:r>
        <w:rPr>
          <w:rFonts w:ascii="Calibri" w:cs="Calibri" w:eastAsia="Calibri" w:hAnsi="Calibri"/>
          <w:b/>
          <w:bCs/>
          <w:color w:val="1E293B"/>
          <w:sz w:val="20"/>
          <w:szCs w:val="20"/>
        </w:rPr>
        <w:t xml:space="preserve">b</w:t>
      </w:r>
      <w:r>
        <w:rPr>
          <w:rFonts w:ascii="Calibri" w:cs="Calibri" w:eastAsia="Calibri" w:hAnsi="Calibri"/>
          <w:color w:val="1E293B"/>
          <w:sz w:val="20"/>
          <w:szCs w:val="20"/>
        </w:rPr>
        <w:t xml:space="preserve"> dianggap sebagai sinyal risiko Inflated Bills jika:</w:t>
      </w:r>
    </w:p>
    <w:p>
      <w:pPr>
        <w:spacing w:after="60" w:before="60"/>
      </w:pPr>
      <w:r>
        <w:t xml:space="preserve"/>
      </w:r>
    </w:p>
    <w:p>
      <w:pPr>
        <w:shd w:fill="E0F2F1" w:color="auto" w:val="clear"/>
        <w:spacing w:after="120" w:before="120"/>
        <w:ind w:left="200" w:right="200"/>
        <w:jc w:val="center"/>
      </w:pPr>
      <w:r>
        <w:rPr>
          <w:rFonts w:ascii="Courier New" w:cs="Courier New" w:eastAsia="Courier New" w:hAnsi="Courier New"/>
          <w:b/>
          <w:bCs/>
          <w:color w:val="00897B"/>
          <w:sz w:val="18"/>
          <w:szCs w:val="18"/>
        </w:rPr>
        <w:t xml:space="preserve">b &gt; E(biaya) + z × σ(biaya)</w:t>
      </w:r>
    </w:p>
    <w:p>
      <w:pPr>
        <w:spacing w:after="60" w:before="60"/>
      </w:pPr>
      <w:r>
        <w:t xml:space="preserve"/>
      </w:r>
    </w:p>
    <w:p>
      <w:pPr>
        <w:spacing w:after="80" w:before="80" w:line="320" w:lineRule="auto"/>
        <w:jc w:val="both"/>
      </w:pPr>
      <w:r>
        <w:rPr>
          <w:rFonts w:ascii="Calibri" w:cs="Calibri" w:eastAsia="Calibri" w:hAnsi="Calibri"/>
          <w:color w:val="1E293B"/>
          <w:sz w:val="20"/>
          <w:szCs w:val="20"/>
        </w:rPr>
        <w:t xml:space="preserve">Di mana </w:t>
      </w:r>
      <w:r>
        <w:rPr>
          <w:rFonts w:ascii="Calibri" w:cs="Calibri" w:eastAsia="Calibri" w:hAnsi="Calibri"/>
          <w:b/>
          <w:bCs/>
          <w:color w:val="1E293B"/>
          <w:sz w:val="20"/>
          <w:szCs w:val="20"/>
        </w:rPr>
        <w:t xml:space="preserve">z</w:t>
      </w:r>
      <w:r>
        <w:rPr>
          <w:rFonts w:ascii="Calibri" w:cs="Calibri" w:eastAsia="Calibri" w:hAnsi="Calibri"/>
          <w:color w:val="1E293B"/>
          <w:sz w:val="20"/>
          <w:szCs w:val="20"/>
        </w:rPr>
        <w:t xml:space="preserve"> adalah multiplier threshold yang dikonfigurasi per faskes. Nilai default adalah </w:t>
      </w:r>
      <w:r>
        <w:rPr>
          <w:rFonts w:ascii="Calibri" w:cs="Calibri" w:eastAsia="Calibri" w:hAnsi="Calibri"/>
          <w:b/>
          <w:bCs/>
          <w:color w:val="1E293B"/>
          <w:sz w:val="20"/>
          <w:szCs w:val="20"/>
        </w:rPr>
        <w:t xml:space="preserve">z = 2,0</w:t>
      </w:r>
      <w:r>
        <w:rPr>
          <w:rFonts w:ascii="Calibri" w:cs="Calibri" w:eastAsia="Calibri" w:hAnsi="Calibri"/>
          <w:color w:val="1E293B"/>
          <w:sz w:val="20"/>
          <w:szCs w:val="20"/>
        </w:rPr>
        <w:t xml:space="preserve"> (mean + 2σ), yang secara statistik menangkap klaim di atas persentil ke-97,7 dari distribusi normal. Nilai z dapat dikalibrasi lebih ketat (z = 1,5) atau lebih longgar (z = 3,0) sesuai toleransi faskes terhadap false positive.</w:t>
      </w:r>
    </w:p>
    <w:p>
      <w:pPr>
        <w:pStyle w:val="Heading2"/>
        <w:spacing w:after="80" w:before="280"/>
      </w:pPr>
      <w:r>
        <w:rPr>
          <w:rFonts w:ascii="Calibri" w:cs="Calibri" w:eastAsia="Calibri" w:hAnsi="Calibri"/>
          <w:b/>
          <w:bCs/>
          <w:color w:val="0C2461"/>
          <w:sz w:val="24"/>
          <w:szCs w:val="24"/>
        </w:rPr>
        <w:t xml:space="preserve">4.2 Risk Score</w:t>
      </w:r>
    </w:p>
    <w:p>
      <w:pPr>
        <w:spacing w:after="80" w:before="80" w:line="320" w:lineRule="auto"/>
        <w:jc w:val="both"/>
      </w:pPr>
      <w:r>
        <w:rPr>
          <w:rFonts w:ascii="Calibri" w:cs="Calibri" w:eastAsia="Calibri" w:hAnsi="Calibri"/>
          <w:color w:val="1E293B"/>
          <w:sz w:val="20"/>
          <w:szCs w:val="20"/>
        </w:rPr>
        <w:t xml:space="preserve">Selain flag biner (ya/tidak), TilikKlaim menghitung risk score kontinu:</w:t>
      </w:r>
    </w:p>
    <w:p>
      <w:pPr>
        <w:spacing w:after="60" w:before="60"/>
      </w:pPr>
      <w:r>
        <w:t xml:space="preserve"/>
      </w:r>
    </w:p>
    <w:p>
      <w:pPr>
        <w:shd w:fill="E0F2F1" w:color="auto" w:val="clear"/>
        <w:spacing w:after="120" w:before="120"/>
        <w:ind w:left="200" w:right="200"/>
        <w:jc w:val="center"/>
      </w:pPr>
      <w:r>
        <w:rPr>
          <w:rFonts w:ascii="Courier New" w:cs="Courier New" w:eastAsia="Courier New" w:hAnsi="Courier New"/>
          <w:b/>
          <w:bCs/>
          <w:color w:val="00897B"/>
          <w:sz w:val="18"/>
          <w:szCs w:val="18"/>
        </w:rPr>
        <w:t xml:space="preserve">risk_score = (b − E(biaya)) / σ(biaya)  ∈ [−∞, +∞]</w:t>
      </w:r>
    </w:p>
    <w:p>
      <w:pPr>
        <w:spacing w:after="60" w:before="60"/>
      </w:pPr>
      <w:r>
        <w:t xml:space="preserve"/>
      </w:r>
    </w:p>
    <w:p>
      <w:pPr>
        <w:spacing w:after="80" w:before="80" w:line="320" w:lineRule="auto"/>
        <w:jc w:val="both"/>
      </w:pPr>
      <w:r>
        <w:rPr>
          <w:rFonts w:ascii="Calibri" w:cs="Calibri" w:eastAsia="Calibri" w:hAnsi="Calibri"/>
          <w:color w:val="1E293B"/>
          <w:sz w:val="20"/>
          <w:szCs w:val="20"/>
        </w:rPr>
        <w:t xml:space="preserve">Risk score yang tinggi (misalnya &gt; 3,0) ditampilkan dalam Risk Signal Card dengan prioritas tinggi untuk di-review. Score negatif berarti biaya di bawah ekspektasi — tidak diflag sebagai anomali untuk tujuan ini.</w:t>
      </w:r>
    </w:p>
    <w:p>
      <w:pPr>
        <w:pStyle w:val="Heading2"/>
        <w:spacing w:after="80" w:before="280"/>
      </w:pPr>
      <w:r>
        <w:rPr>
          <w:rFonts w:ascii="Calibri" w:cs="Calibri" w:eastAsia="Calibri" w:hAnsi="Calibri"/>
          <w:b/>
          <w:bCs/>
          <w:color w:val="0C2461"/>
          <w:sz w:val="24"/>
          <w:szCs w:val="24"/>
        </w:rPr>
        <w:t xml:space="preserve">4.3 Kategorisasi Tingkat Risiko</w:t>
      </w:r>
    </w:p>
    <w:p>
      <w:pPr>
        <w:spacing w:after="60" w:before="60"/>
      </w:pPr>
      <w:r>
        <w:t xml:space="preserve"/>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2200"/>
        <w:gridCol w:w="2600"/>
        <w:gridCol w:w="4200"/>
      </w:tblGrid>
      <w:tr>
        <w:tc>
          <w:tcPr>
            <w:tcW w:type="dxa" w:w="22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Tingkat Risiko</w:t>
            </w:r>
          </w:p>
        </w:tc>
        <w:tc>
          <w:tcPr>
            <w:tcW w:type="dxa" w:w="26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Kondisi Score</w:t>
            </w:r>
          </w:p>
        </w:tc>
        <w:tc>
          <w:tcPr>
            <w:tcW w:type="dxa" w:w="42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Rekomendasi Default</w:t>
            </w:r>
          </w:p>
        </w:tc>
      </w:tr>
      <w:tr>
        <w:tc>
          <w:tcPr>
            <w:tcW w:type="dxa" w:w="2200"/>
            <w:tcMar>
              <w:top w:type="dxa" w:w="60"/>
              <w:left w:type="dxa" w:w="80"/>
              <w:bottom w:type="dxa" w:w="60"/>
              <w:right w:type="dxa" w:w="80"/>
            </w:tcMar>
            <w:vAlign w:val="center"/>
          </w:tcPr>
          <w:p>
            <w:pPr>
              <w:spacing w:after="60" w:before="60"/>
              <w:jc w:val="left"/>
            </w:pPr>
            <w:r>
              <w:rPr>
                <w:rFonts w:ascii="Calibri" w:cs="Calibri" w:eastAsia="Calibri" w:hAnsi="Calibri"/>
                <w:b/>
                <w:bCs/>
                <w:color w:val="2E7D32"/>
                <w:sz w:val="18"/>
                <w:szCs w:val="18"/>
              </w:rPr>
              <w:t xml:space="preserve">RENDAH</w:t>
            </w:r>
          </w:p>
        </w:tc>
        <w:tc>
          <w:tcPr>
            <w:tcW w:type="dxa" w:w="2600"/>
            <w:tcMar>
              <w:top w:type="dxa" w:w="60"/>
              <w:left w:type="dxa" w:w="80"/>
              <w:bottom w:type="dxa" w:w="60"/>
              <w:right w:type="dxa" w:w="80"/>
            </w:tcMar>
            <w:vAlign w:val="center"/>
          </w:tcPr>
          <w:p>
            <w:pPr>
              <w:spacing w:after="60" w:before="60"/>
              <w:jc w:val="center"/>
            </w:pPr>
            <w:r>
              <w:rPr>
                <w:rFonts w:ascii="Calibri" w:cs="Calibri" w:eastAsia="Calibri" w:hAnsi="Calibri"/>
                <w:b w:val="false"/>
                <w:bCs w:val="false"/>
                <w:color w:val="1E293B"/>
                <w:sz w:val="18"/>
                <w:szCs w:val="18"/>
              </w:rPr>
              <w:t xml:space="preserve">score ≤ 1,5</w:t>
            </w:r>
          </w:p>
        </w:tc>
        <w:tc>
          <w:tcPr>
            <w:tcW w:type="dxa" w:w="42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Tidak diflag. Klaim lolos verifikasi otomatis.</w:t>
            </w:r>
          </w:p>
        </w:tc>
      </w:tr>
      <w:tr>
        <w:tc>
          <w:tcPr>
            <w:tcW w:type="dxa" w:w="22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59E0B"/>
                <w:sz w:val="18"/>
                <w:szCs w:val="18"/>
              </w:rPr>
              <w:t xml:space="preserve">SEDANG</w:t>
            </w:r>
          </w:p>
        </w:tc>
        <w:tc>
          <w:tcPr>
            <w:tcW w:type="dxa" w:w="2600"/>
            <w:shd w:fill="F5F5F5" w:color="auto" w:val="clear"/>
            <w:tcMar>
              <w:top w:type="dxa" w:w="60"/>
              <w:left w:type="dxa" w:w="80"/>
              <w:bottom w:type="dxa" w:w="60"/>
              <w:right w:type="dxa" w:w="80"/>
            </w:tcMar>
            <w:vAlign w:val="center"/>
          </w:tcPr>
          <w:p>
            <w:pPr>
              <w:spacing w:after="60" w:before="60"/>
              <w:jc w:val="center"/>
            </w:pPr>
            <w:r>
              <w:rPr>
                <w:rFonts w:ascii="Calibri" w:cs="Calibri" w:eastAsia="Calibri" w:hAnsi="Calibri"/>
                <w:b w:val="false"/>
                <w:bCs w:val="false"/>
                <w:color w:val="1E293B"/>
                <w:sz w:val="18"/>
                <w:szCs w:val="18"/>
              </w:rPr>
              <w:t xml:space="preserve">1,5 &lt; score ≤ 2,0</w:t>
            </w:r>
          </w:p>
        </w:tc>
        <w:tc>
          <w:tcPr>
            <w:tcW w:type="dxa" w:w="42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Ditampilkan di review queue dengan prioritas normal. Casemix officer memutuskan.</w:t>
            </w:r>
          </w:p>
        </w:tc>
      </w:tr>
      <w:tr>
        <w:tc>
          <w:tcPr>
            <w:tcW w:type="dxa" w:w="2200"/>
            <w:tcMar>
              <w:top w:type="dxa" w:w="60"/>
              <w:left w:type="dxa" w:w="80"/>
              <w:bottom w:type="dxa" w:w="60"/>
              <w:right w:type="dxa" w:w="80"/>
            </w:tcMar>
            <w:vAlign w:val="center"/>
          </w:tcPr>
          <w:p>
            <w:pPr>
              <w:spacing w:after="60" w:before="60"/>
              <w:jc w:val="left"/>
            </w:pPr>
            <w:r>
              <w:rPr>
                <w:rFonts w:ascii="Calibri" w:cs="Calibri" w:eastAsia="Calibri" w:hAnsi="Calibri"/>
                <w:b/>
                <w:bCs/>
                <w:color w:val="C62828"/>
                <w:sz w:val="18"/>
                <w:szCs w:val="18"/>
              </w:rPr>
              <w:t xml:space="preserve">TINGGI</w:t>
            </w:r>
          </w:p>
        </w:tc>
        <w:tc>
          <w:tcPr>
            <w:tcW w:type="dxa" w:w="2600"/>
            <w:tcMar>
              <w:top w:type="dxa" w:w="60"/>
              <w:left w:type="dxa" w:w="80"/>
              <w:bottom w:type="dxa" w:w="60"/>
              <w:right w:type="dxa" w:w="80"/>
            </w:tcMar>
            <w:vAlign w:val="center"/>
          </w:tcPr>
          <w:p>
            <w:pPr>
              <w:spacing w:after="60" w:before="60"/>
              <w:jc w:val="center"/>
            </w:pPr>
            <w:r>
              <w:rPr>
                <w:rFonts w:ascii="Calibri" w:cs="Calibri" w:eastAsia="Calibri" w:hAnsi="Calibri"/>
                <w:b w:val="false"/>
                <w:bCs w:val="false"/>
                <w:color w:val="1E293B"/>
                <w:sz w:val="18"/>
                <w:szCs w:val="18"/>
              </w:rPr>
              <w:t xml:space="preserve">score &gt; 2,0 (default z)</w:t>
            </w:r>
          </w:p>
        </w:tc>
        <w:tc>
          <w:tcPr>
            <w:tcW w:type="dxa" w:w="42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Diflag di Risk Signal Card. Naik ke prioritas tinggi dalam review queue.</w:t>
            </w:r>
          </w:p>
        </w:tc>
      </w:tr>
    </w:tbl>
    <w:p>
      <w:pPr>
        <w:spacing w:after="60" w:before="60"/>
      </w:pPr>
      <w:r>
        <w:t xml:space="preserve"/>
      </w:r>
    </w:p>
    <w:p>
      <w:pPr>
        <w:pBdr>
          <w:left w:val="single" w:color="F59E0B" w:sz="4" w:space="4"/>
        </w:pBdr>
        <w:spacing w:after="120" w:before="120"/>
        <w:ind w:left="200"/>
      </w:pPr>
      <w:r>
        <w:rPr>
          <w:rFonts w:ascii="Calibri" w:cs="Calibri" w:eastAsia="Calibri" w:hAnsi="Calibri"/>
          <w:i/>
          <w:iCs/>
          <w:color w:val="64748B"/>
          <w:sz w:val="18"/>
          <w:szCs w:val="18"/>
        </w:rPr>
        <w:t xml:space="preserve">📌  Semua threshold di atas dapat dikonfigurasi per faskes melalui admin panel TilikKlaim. Rekomendasi: mulai dengan z = 2,0 pada 3 bulan pertama (fase kalibrasi), lalu evaluasi precision rate sebelum memperketat threshold.</w:t>
      </w:r>
    </w:p>
    <w:p>
      <w:pPr>
        <w:spacing w:after="60" w:before="60"/>
      </w:pPr>
      <w:r>
        <w:t xml:space="preserve"/>
      </w:r>
    </w:p>
    <w:p>
      <w:pPr>
        <w:pStyle w:val="Heading1"/>
        <w:spacing w:after="120" w:before="360"/>
        <w:rPr>
          <w:rFonts w:ascii="Calibri" w:cs="Calibri" w:eastAsia="Calibri" w:hAnsi="Calibri"/>
          <w:b/>
          <w:bCs/>
          <w:color w:val="0C2461"/>
          <w:sz w:val="28"/>
          <w:szCs w:val="28"/>
        </w:rPr>
      </w:pPr>
      <w:r>
        <w:t xml:space="preserve">5. Temuan Kunci dari Data DJSN</w:t>
      </w:r>
    </w:p>
    <w:p>
      <w:pPr>
        <w:spacing w:after="80" w:before="80" w:line="320" w:lineRule="auto"/>
        <w:jc w:val="both"/>
      </w:pPr>
      <w:r>
        <w:rPr>
          <w:rFonts w:ascii="Calibri" w:cs="Calibri" w:eastAsia="Calibri" w:hAnsi="Calibri"/>
          <w:color w:val="1E293B"/>
          <w:sz w:val="20"/>
          <w:szCs w:val="20"/>
        </w:rPr>
        <w:t xml:space="preserve">Analisis terhadap dataset DJSN 2014–2018 menghasilkan temuan-temuan berikut yang menjadi dasar kalibrasi Expected Cost Matrix:</w:t>
      </w:r>
    </w:p>
    <w:p>
      <w:pPr>
        <w:spacing w:after="60" w:before="60"/>
      </w:pPr>
      <w:r>
        <w:t xml:space="preserve"/>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2000"/>
        <w:gridCol w:w="4000"/>
      </w:tblGrid>
      <w:tr>
        <w:tc>
          <w:tcPr>
            <w:tcW w:type="dxa" w:w="30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Temuan</w:t>
            </w:r>
          </w:p>
        </w:tc>
        <w:tc>
          <w:tcPr>
            <w:tcW w:type="dxa" w:w="20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Nilai</w:t>
            </w:r>
          </w:p>
        </w:tc>
        <w:tc>
          <w:tcPr>
            <w:tcW w:type="dxa" w:w="40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Implikasi untuk Matrix</w:t>
            </w:r>
          </w:p>
        </w:tc>
      </w:tr>
      <w:tr>
        <w:tc>
          <w:tcPr>
            <w:tcW w:type="dxa" w:w="30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Rata-rata biaya RITL nasional 2018</w:t>
            </w:r>
          </w:p>
        </w:tc>
        <w:tc>
          <w:tcPr>
            <w:tcW w:type="dxa" w:w="2000"/>
            <w:tcMar>
              <w:top w:type="dxa" w:w="60"/>
              <w:left w:type="dxa" w:w="80"/>
              <w:bottom w:type="dxa" w:w="60"/>
              <w:right w:type="dxa" w:w="80"/>
            </w:tcMar>
            <w:vAlign w:val="center"/>
          </w:tcPr>
          <w:p>
            <w:pPr>
              <w:spacing w:after="60" w:before="60"/>
              <w:jc w:val="right"/>
            </w:pPr>
            <w:r>
              <w:rPr>
                <w:rFonts w:ascii="Calibri" w:cs="Calibri" w:eastAsia="Calibri" w:hAnsi="Calibri"/>
                <w:b/>
                <w:bCs/>
                <w:color w:val="1E293B"/>
                <w:sz w:val="18"/>
                <w:szCs w:val="18"/>
              </w:rPr>
              <w:t xml:space="preserve">Rp 4.747.547/admisi</w:t>
            </w:r>
          </w:p>
        </w:tc>
        <w:tc>
          <w:tcPr>
            <w:tcW w:type="dxa" w:w="40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Nilai μ_nasional yang menjadi baseline dasar matrix</w:t>
            </w:r>
          </w:p>
        </w:tc>
      </w:tr>
      <w:tr>
        <w:tc>
          <w:tcPr>
            <w:tcW w:type="dxa" w:w="30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DKI Jakarta vs. rata-rata nasional</w:t>
            </w:r>
          </w:p>
        </w:tc>
        <w:tc>
          <w:tcPr>
            <w:tcW w:type="dxa" w:w="2000"/>
            <w:shd w:fill="F5F5F5" w:color="auto" w:val="clear"/>
            <w:tcMar>
              <w:top w:type="dxa" w:w="60"/>
              <w:left w:type="dxa" w:w="80"/>
              <w:bottom w:type="dxa" w:w="60"/>
              <w:right w:type="dxa" w:w="80"/>
            </w:tcMar>
            <w:vAlign w:val="center"/>
          </w:tcPr>
          <w:p>
            <w:pPr>
              <w:spacing w:after="60" w:before="60"/>
              <w:jc w:val="right"/>
            </w:pPr>
            <w:r>
              <w:rPr>
                <w:rFonts w:ascii="Calibri" w:cs="Calibri" w:eastAsia="Calibri" w:hAnsi="Calibri"/>
                <w:b/>
                <w:bCs/>
                <w:color w:val="C62828"/>
                <w:sz w:val="18"/>
                <w:szCs w:val="18"/>
              </w:rPr>
              <w:t xml:space="preserve">+64,8%</w:t>
            </w:r>
          </w:p>
        </w:tc>
        <w:tc>
          <w:tcPr>
            <w:tcW w:type="dxa" w:w="40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f_provinsi(DKI Jakarta) = 1,648 — klaim DKI yang tinggi tidak otomatis anomali</w:t>
            </w:r>
          </w:p>
        </w:tc>
      </w:tr>
      <w:tr>
        <w:tc>
          <w:tcPr>
            <w:tcW w:type="dxa" w:w="30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Papua Barat vs. rata-rata nasional</w:t>
            </w:r>
          </w:p>
        </w:tc>
        <w:tc>
          <w:tcPr>
            <w:tcW w:type="dxa" w:w="2000"/>
            <w:tcMar>
              <w:top w:type="dxa" w:w="60"/>
              <w:left w:type="dxa" w:w="80"/>
              <w:bottom w:type="dxa" w:w="60"/>
              <w:right w:type="dxa" w:w="80"/>
            </w:tcMar>
            <w:vAlign w:val="center"/>
          </w:tcPr>
          <w:p>
            <w:pPr>
              <w:spacing w:after="60" w:before="60"/>
              <w:jc w:val="right"/>
            </w:pPr>
            <w:r>
              <w:rPr>
                <w:rFonts w:ascii="Calibri" w:cs="Calibri" w:eastAsia="Calibri" w:hAnsi="Calibri"/>
                <w:b/>
                <w:bCs/>
                <w:color w:val="1565C0"/>
                <w:sz w:val="18"/>
                <w:szCs w:val="18"/>
              </w:rPr>
              <w:t xml:space="preserve">−30,0%</w:t>
            </w:r>
          </w:p>
        </w:tc>
        <w:tc>
          <w:tcPr>
            <w:tcW w:type="dxa" w:w="40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f_provinsi(Papua Barat) = 0,700 — threshold lebih rendah untuk wilayah ini</w:t>
            </w:r>
          </w:p>
        </w:tc>
      </w:tr>
      <w:tr>
        <w:tc>
          <w:tcPr>
            <w:tcW w:type="dxa" w:w="30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Rasio DKI Jakarta vs. Papua Barat</w:t>
            </w:r>
          </w:p>
        </w:tc>
        <w:tc>
          <w:tcPr>
            <w:tcW w:type="dxa" w:w="2000"/>
            <w:shd w:fill="F5F5F5" w:color="auto" w:val="clear"/>
            <w:tcMar>
              <w:top w:type="dxa" w:w="60"/>
              <w:left w:type="dxa" w:w="80"/>
              <w:bottom w:type="dxa" w:w="60"/>
              <w:right w:type="dxa" w:w="80"/>
            </w:tcMar>
            <w:vAlign w:val="center"/>
          </w:tcPr>
          <w:p>
            <w:pPr>
              <w:spacing w:after="60" w:before="60"/>
              <w:jc w:val="right"/>
            </w:pPr>
            <w:r>
              <w:rPr>
                <w:rFonts w:ascii="Calibri" w:cs="Calibri" w:eastAsia="Calibri" w:hAnsi="Calibri"/>
                <w:b/>
                <w:bCs/>
                <w:color w:val="1E293B"/>
                <w:sz w:val="18"/>
                <w:szCs w:val="18"/>
              </w:rPr>
              <w:t xml:space="preserve">2,35×</w:t>
            </w:r>
          </w:p>
        </w:tc>
        <w:tc>
          <w:tcPr>
            <w:tcW w:type="dxa" w:w="40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Variasi regional terbesar — pembenar utama penggunaan faktor koreksi provinsi</w:t>
            </w:r>
          </w:p>
        </w:tc>
      </w:tr>
      <w:tr>
        <w:tc>
          <w:tcPr>
            <w:tcW w:type="dxa" w:w="30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Gap Kelas 1 vs. Kelas 3 RITL</w:t>
            </w:r>
          </w:p>
        </w:tc>
        <w:tc>
          <w:tcPr>
            <w:tcW w:type="dxa" w:w="2000"/>
            <w:tcMar>
              <w:top w:type="dxa" w:w="60"/>
              <w:left w:type="dxa" w:w="80"/>
              <w:bottom w:type="dxa" w:w="60"/>
              <w:right w:type="dxa" w:w="80"/>
            </w:tcMar>
            <w:vAlign w:val="center"/>
          </w:tcPr>
          <w:p>
            <w:pPr>
              <w:spacing w:after="60" w:before="60"/>
              <w:jc w:val="right"/>
            </w:pPr>
            <w:r>
              <w:rPr>
                <w:rFonts w:ascii="Calibri" w:cs="Calibri" w:eastAsia="Calibri" w:hAnsi="Calibri"/>
                <w:b/>
                <w:bCs/>
                <w:color w:val="C62828"/>
                <w:sz w:val="18"/>
                <w:szCs w:val="18"/>
              </w:rPr>
              <w:t xml:space="preserve">+51,6%</w:t>
            </w:r>
          </w:p>
        </w:tc>
        <w:tc>
          <w:tcPr>
            <w:tcW w:type="dxa" w:w="40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Koreksi kelas perawatan berdampak signifikan — tidak boleh diabaikan</w:t>
            </w:r>
          </w:p>
        </w:tc>
      </w:tr>
    </w:tbl>
    <w:p>
      <w:pPr>
        <w:spacing w:after="60" w:before="60"/>
      </w:pPr>
      <w:r>
        <w:t xml:space="preserve"/>
      </w:r>
    </w:p>
    <w:p>
      <w:pPr>
        <w:pStyle w:val="Heading1"/>
        <w:spacing w:after="120" w:before="360"/>
        <w:rPr>
          <w:rFonts w:ascii="Calibri" w:cs="Calibri" w:eastAsia="Calibri" w:hAnsi="Calibri"/>
          <w:b/>
          <w:bCs/>
          <w:color w:val="0C2461"/>
          <w:sz w:val="28"/>
          <w:szCs w:val="28"/>
        </w:rPr>
      </w:pPr>
      <w:r>
        <w:t xml:space="preserve">6. Keterbatasan &amp; Rencana Peningkatan</w:t>
      </w:r>
    </w:p>
    <w:p>
      <w:pPr>
        <w:pStyle w:val="Heading2"/>
        <w:spacing w:after="80" w:before="280"/>
      </w:pPr>
      <w:r>
        <w:rPr>
          <w:rFonts w:ascii="Calibri" w:cs="Calibri" w:eastAsia="Calibri" w:hAnsi="Calibri"/>
          <w:b/>
          <w:bCs/>
          <w:color w:val="0C2461"/>
          <w:sz w:val="24"/>
          <w:szCs w:val="24"/>
        </w:rPr>
        <w:t xml:space="preserve">6.1 Keterbatasan yang Diakui</w:t>
      </w:r>
    </w:p>
    <w:p>
      <w:pPr>
        <w:spacing w:after="80" w:before="80" w:line="320" w:lineRule="auto"/>
        <w:jc w:val="both"/>
      </w:pPr>
      <w:r>
        <w:rPr>
          <w:rFonts w:ascii="Calibri" w:cs="Calibri" w:eastAsia="Calibri" w:hAnsi="Calibri"/>
          <w:b/>
          <w:bCs/>
          <w:color w:val="1E293B"/>
          <w:sz w:val="20"/>
          <w:szCs w:val="20"/>
        </w:rPr>
        <w:t xml:space="preserve">a. Data historis (2014–2018), bukan real-time.</w:t>
      </w:r>
      <w:r>
        <w:rPr>
          <w:rFonts w:ascii="Calibri" w:cs="Calibri" w:eastAsia="Calibri" w:hAnsi="Calibri"/>
          <w:color w:val="1E293B"/>
          <w:sz w:val="20"/>
          <w:szCs w:val="20"/>
        </w:rPr>
        <w:t xml:space="preserve"> Tarif INA-CBGs dan biaya aktual layanan kesehatan terus berkembang. Matrix saat ini merefleksikan pola historis, bukan kondisi 2025–2026. Faktor koreksi relatif dianggap lebih stabil daripada nilai absolut.</w:t>
      </w:r>
    </w:p>
    <w:p>
      <w:pPr>
        <w:spacing w:after="60" w:before="60"/>
      </w:pPr>
      <w:r>
        <w:t xml:space="preserve"/>
      </w:r>
    </w:p>
    <w:p>
      <w:pPr>
        <w:spacing w:after="80" w:before="80" w:line="320" w:lineRule="auto"/>
        <w:jc w:val="both"/>
      </w:pPr>
      <w:r>
        <w:rPr>
          <w:rFonts w:ascii="Calibri" w:cs="Calibri" w:eastAsia="Calibri" w:hAnsi="Calibri"/>
          <w:b/>
          <w:bCs/>
          <w:color w:val="1E293B"/>
          <w:sz w:val="20"/>
          <w:szCs w:val="20"/>
        </w:rPr>
        <w:t xml:space="preserve">b. Tidak ada data klaim transaksional individual.</w:t>
      </w:r>
      <w:r>
        <w:rPr>
          <w:rFonts w:ascii="Calibri" w:cs="Calibri" w:eastAsia="Calibri" w:hAnsi="Calibri"/>
          <w:color w:val="1E293B"/>
          <w:sz w:val="20"/>
          <w:szCs w:val="20"/>
        </w:rPr>
        <w:t xml:space="preserve"> Tanpa akses ke data klaim individual (tersedia via mekanisme Data Sample BPJS Kesehatan dengan pakta integritas), σ yang digunakan adalah proxy konservatif berbasis varians agregat — bukan σ sesungguhnya dari distribusi biaya klaim individual.</w:t>
      </w:r>
    </w:p>
    <w:p>
      <w:pPr>
        <w:spacing w:after="60" w:before="60"/>
      </w:pPr>
      <w:r>
        <w:t xml:space="preserve"/>
      </w:r>
    </w:p>
    <w:p>
      <w:pPr>
        <w:spacing w:after="80" w:before="80" w:line="320" w:lineRule="auto"/>
        <w:jc w:val="both"/>
      </w:pPr>
      <w:r>
        <w:rPr>
          <w:rFonts w:ascii="Calibri" w:cs="Calibri" w:eastAsia="Calibri" w:hAnsi="Calibri"/>
          <w:b/>
          <w:bCs/>
          <w:color w:val="1E293B"/>
          <w:sz w:val="20"/>
          <w:szCs w:val="20"/>
        </w:rPr>
        <w:t xml:space="preserve">c. Interaksi antar-dimensi tidak dimodelkan.</w:t>
      </w:r>
      <w:r>
        <w:rPr>
          <w:rFonts w:ascii="Calibri" w:cs="Calibri" w:eastAsia="Calibri" w:hAnsi="Calibri"/>
          <w:color w:val="1E293B"/>
          <w:sz w:val="20"/>
          <w:szCs w:val="20"/>
        </w:rPr>
        <w:t xml:space="preserve"> Model faktor multiplikatif mengasumsikan independensi antara provinsi, kelas, dan usia — tidak menangkap interaksi seperti "Kelas 3 di DKI Jakarta berperilaku berbeda dari Kelas 3 di Jawa Tengah".</w:t>
      </w:r>
    </w:p>
    <w:p>
      <w:pPr>
        <w:spacing w:after="60" w:before="60"/>
      </w:pPr>
      <w:r>
        <w:t xml:space="preserve"/>
      </w:r>
    </w:p>
    <w:p>
      <w:pPr>
        <w:spacing w:after="80" w:before="80" w:line="320" w:lineRule="auto"/>
        <w:jc w:val="both"/>
      </w:pPr>
      <w:r>
        <w:rPr>
          <w:rFonts w:ascii="Calibri" w:cs="Calibri" w:eastAsia="Calibri" w:hAnsi="Calibri"/>
          <w:b/>
          <w:bCs/>
          <w:color w:val="1E293B"/>
          <w:sz w:val="20"/>
          <w:szCs w:val="20"/>
        </w:rPr>
        <w:t xml:space="preserve">d. Belum tervalidasi pada data klaim nyata.</w:t>
      </w:r>
      <w:r>
        <w:rPr>
          <w:rFonts w:ascii="Calibri" w:cs="Calibri" w:eastAsia="Calibri" w:hAnsi="Calibri"/>
          <w:color w:val="1E293B"/>
          <w:sz w:val="20"/>
          <w:szCs w:val="20"/>
        </w:rPr>
        <w:t xml:space="preserve"> Precision rate, recall rate, dan optimal threshold z belum diukur pada data klaim aktual — rencana validasi ada di pilot Fase 2 (lihat roadmap proposal).</w:t>
      </w:r>
    </w:p>
    <w:p>
      <w:pPr>
        <w:spacing w:after="60" w:before="60"/>
      </w:pPr>
      <w:r>
        <w:t xml:space="preserve"/>
      </w:r>
    </w:p>
    <w:p>
      <w:pPr>
        <w:pStyle w:val="Heading2"/>
        <w:spacing w:after="80" w:before="280"/>
      </w:pPr>
      <w:r>
        <w:rPr>
          <w:rFonts w:ascii="Calibri" w:cs="Calibri" w:eastAsia="Calibri" w:hAnsi="Calibri"/>
          <w:b/>
          <w:bCs/>
          <w:color w:val="0C2461"/>
          <w:sz w:val="24"/>
          <w:szCs w:val="24"/>
        </w:rPr>
        <w:t xml:space="preserve">6.2 Rencana Peningkatan (Roadmap)</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1400"/>
        <w:gridCol w:w="3200"/>
        <w:gridCol w:w="4400"/>
      </w:tblGrid>
      <w:tr>
        <w:tc>
          <w:tcPr>
            <w:tcW w:type="dxa" w:w="14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Fase</w:t>
            </w:r>
          </w:p>
        </w:tc>
        <w:tc>
          <w:tcPr>
            <w:tcW w:type="dxa" w:w="32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Peningkatan</w:t>
            </w:r>
          </w:p>
        </w:tc>
        <w:tc>
          <w:tcPr>
            <w:tcW w:type="dxa" w:w="4400"/>
            <w:shd w:fill="0C2461"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FFFFFF"/>
                <w:sz w:val="18"/>
                <w:szCs w:val="18"/>
              </w:rPr>
              <w:t xml:space="preserve">Prasyarat</w:t>
            </w:r>
          </w:p>
        </w:tc>
      </w:tr>
      <w:tr>
        <w:tc>
          <w:tcPr>
            <w:tcW w:type="dxa" w:w="1400"/>
            <w:tcMar>
              <w:top w:type="dxa" w:w="60"/>
              <w:left w:type="dxa" w:w="80"/>
              <w:bottom w:type="dxa" w:w="60"/>
              <w:right w:type="dxa" w:w="80"/>
            </w:tcMar>
            <w:vAlign w:val="center"/>
          </w:tcPr>
          <w:p>
            <w:pPr>
              <w:spacing w:after="60" w:before="60"/>
              <w:jc w:val="left"/>
            </w:pPr>
            <w:r>
              <w:rPr>
                <w:rFonts w:ascii="Calibri" w:cs="Calibri" w:eastAsia="Calibri" w:hAnsi="Calibri"/>
                <w:b/>
                <w:bCs/>
                <w:color w:val="1E293B"/>
                <w:sz w:val="18"/>
                <w:szCs w:val="18"/>
              </w:rPr>
              <w:t xml:space="preserve">Fase 0
(Sekarang)</w:t>
            </w:r>
          </w:p>
        </w:tc>
        <w:tc>
          <w:tcPr>
            <w:tcW w:type="dxa" w:w="32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Matrix berbasis 6 dataset DJSN 2014–2018. Faktor multiplikatif sederhana.</w:t>
            </w:r>
          </w:p>
        </w:tc>
        <w:tc>
          <w:tcPr>
            <w:tcW w:type="dxa" w:w="44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 Tersedia — data publik DJSN</w:t>
            </w:r>
          </w:p>
        </w:tc>
      </w:tr>
      <w:tr>
        <w:tc>
          <w:tcPr>
            <w:tcW w:type="dxa" w:w="14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1E293B"/>
                <w:sz w:val="18"/>
                <w:szCs w:val="18"/>
              </w:rPr>
              <w:t xml:space="preserve">Fase 1
(Bulan 1–3)</w:t>
            </w:r>
          </w:p>
        </w:tc>
        <w:tc>
          <w:tcPr>
            <w:tcW w:type="dxa" w:w="32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Kalibrasi threshold per faskes dari data klaim pilot. Validasi precision/recall.</w:t>
            </w:r>
          </w:p>
        </w:tc>
        <w:tc>
          <w:tcPr>
            <w:tcW w:type="dxa" w:w="44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Letter of Intent dari 1 faskes pilot</w:t>
            </w:r>
          </w:p>
        </w:tc>
      </w:tr>
      <w:tr>
        <w:tc>
          <w:tcPr>
            <w:tcW w:type="dxa" w:w="1400"/>
            <w:tcMar>
              <w:top w:type="dxa" w:w="60"/>
              <w:left w:type="dxa" w:w="80"/>
              <w:bottom w:type="dxa" w:w="60"/>
              <w:right w:type="dxa" w:w="80"/>
            </w:tcMar>
            <w:vAlign w:val="center"/>
          </w:tcPr>
          <w:p>
            <w:pPr>
              <w:spacing w:after="60" w:before="60"/>
              <w:jc w:val="left"/>
            </w:pPr>
            <w:r>
              <w:rPr>
                <w:rFonts w:ascii="Calibri" w:cs="Calibri" w:eastAsia="Calibri" w:hAnsi="Calibri"/>
                <w:b/>
                <w:bCs/>
                <w:color w:val="1E293B"/>
                <w:sz w:val="18"/>
                <w:szCs w:val="18"/>
              </w:rPr>
              <w:t xml:space="preserve">Fase 2
(Bulan 4–9)</w:t>
            </w:r>
          </w:p>
        </w:tc>
        <w:tc>
          <w:tcPr>
            <w:tcW w:type="dxa" w:w="32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Integrasi data klaim riil (via upload CSV SIM RS). Update matrix berbasis distribusi aktual faskes.</w:t>
            </w:r>
          </w:p>
        </w:tc>
        <w:tc>
          <w:tcPr>
            <w:tcW w:type="dxa" w:w="4400"/>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Akses ke data CSV klaim pasca-De-identifikasi di lingkungan faskes</w:t>
            </w:r>
          </w:p>
        </w:tc>
      </w:tr>
      <w:tr>
        <w:tc>
          <w:tcPr>
            <w:tcW w:type="dxa" w:w="14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bCs/>
                <w:color w:val="1E293B"/>
                <w:sz w:val="18"/>
                <w:szCs w:val="18"/>
              </w:rPr>
              <w:t xml:space="preserve">Fase 3
(Bulan 10+)</w:t>
            </w:r>
          </w:p>
        </w:tc>
        <w:tc>
          <w:tcPr>
            <w:tcW w:type="dxa" w:w="32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Opsional: pengajuan Pakta Integritas ke BPJS untuk akses Data Sample 2015–2024. Update matrix berbasis data longitudinal.</w:t>
            </w:r>
          </w:p>
        </w:tc>
        <w:tc>
          <w:tcPr>
            <w:tcW w:type="dxa" w:w="4400"/>
            <w:shd w:fill="F5F5F5" w:color="auto" w:val="clear"/>
            <w:tcMar>
              <w:top w:type="dxa" w:w="60"/>
              <w:left w:type="dxa" w:w="80"/>
              <w:bottom w:type="dxa" w:w="60"/>
              <w:right w:type="dxa" w:w="80"/>
            </w:tcMar>
            <w:vAlign w:val="center"/>
          </w:tcPr>
          <w:p>
            <w:pPr>
              <w:spacing w:after="60" w:before="60"/>
              <w:jc w:val="left"/>
            </w:pPr>
            <w:r>
              <w:rPr>
                <w:rFonts w:ascii="Calibri" w:cs="Calibri" w:eastAsia="Calibri" w:hAnsi="Calibri"/>
                <w:b w:val="false"/>
                <w:bCs w:val="false"/>
                <w:color w:val="1E293B"/>
                <w:sz w:val="18"/>
                <w:szCs w:val="18"/>
              </w:rPr>
              <w:t xml:space="preserve">Pakta Integritas disetujui BPJS Kesehatan</w:t>
            </w:r>
          </w:p>
        </w:tc>
      </w:tr>
    </w:tbl>
    <w:p>
      <w:pPr>
        <w:spacing w:after="60" w:before="60"/>
      </w:pPr>
      <w:r>
        <w:t xml:space="preserve"/>
      </w:r>
    </w:p>
    <w:p>
      <w:pPr>
        <w:pStyle w:val="Heading1"/>
        <w:spacing w:after="120" w:before="360"/>
        <w:rPr>
          <w:rFonts w:ascii="Calibri" w:cs="Calibri" w:eastAsia="Calibri" w:hAnsi="Calibri"/>
          <w:b/>
          <w:bCs/>
          <w:color w:val="0C2461"/>
          <w:sz w:val="28"/>
          <w:szCs w:val="28"/>
        </w:rPr>
      </w:pPr>
      <w:r>
        <w:t xml:space="preserve">7. Kepatuhan Privasi &amp; Tata Kelola Data</w:t>
      </w:r>
    </w:p>
    <w:p>
      <w:pPr>
        <w:spacing w:after="80" w:before="80" w:line="320" w:lineRule="auto"/>
        <w:jc w:val="both"/>
      </w:pPr>
      <w:r>
        <w:rPr>
          <w:rFonts w:ascii="Calibri" w:cs="Calibri" w:eastAsia="Calibri" w:hAnsi="Calibri"/>
          <w:b/>
          <w:bCs/>
          <w:color w:val="1E293B"/>
          <w:sz w:val="20"/>
          <w:szCs w:val="20"/>
        </w:rPr>
        <w:t xml:space="preserve">Expected Cost Matrix tidak mengandung data pasien.</w:t>
      </w:r>
      <w:r>
        <w:rPr>
          <w:rFonts w:ascii="Calibri" w:cs="Calibri" w:eastAsia="Calibri" w:hAnsi="Calibri"/>
          <w:color w:val="1E293B"/>
          <w:sz w:val="20"/>
          <w:szCs w:val="20"/>
        </w:rPr>
        <w:t xml:space="preserve"> Seluruh nilai dalam matrix adalah statistik agregat (mean dan standar deviasi biaya per kategori) yang diturunkan dari data publik DJSN — bukan rekaman klaim individual.</w:t>
      </w:r>
    </w:p>
    <w:p>
      <w:pPr>
        <w:spacing w:after="60" w:before="60"/>
      </w:pPr>
      <w:r>
        <w:t xml:space="preserve"/>
      </w:r>
    </w:p>
    <w:p>
      <w:pPr>
        <w:spacing w:after="80" w:before="80" w:line="320" w:lineRule="auto"/>
        <w:jc w:val="both"/>
      </w:pPr>
      <w:r>
        <w:rPr>
          <w:rFonts w:ascii="Calibri" w:cs="Calibri" w:eastAsia="Calibri" w:hAnsi="Calibri"/>
          <w:color w:val="1E293B"/>
          <w:sz w:val="20"/>
          <w:szCs w:val="20"/>
        </w:rPr>
        <w:t xml:space="preserve">Implikasinya:</w:t>
      </w:r>
    </w:p>
    <w:p>
      <w:pPr>
        <w:pStyle w:val="ListParagraph"/>
        <w:numPr>
          <w:ilvl w:val="0"/>
          <w:numId w:val="1"/>
        </w:numPr>
        <w:spacing w:after="40" w:before="40"/>
      </w:pPr>
      <w:r>
        <w:rPr>
          <w:rFonts w:ascii="Calibri" w:cs="Calibri" w:eastAsia="Calibri" w:hAnsi="Calibri"/>
          <w:b/>
          <w:bCs/>
          <w:color w:val="1E293B"/>
          <w:sz w:val="20"/>
          <w:szCs w:val="20"/>
        </w:rPr>
        <w:t xml:space="preserve">UU PDP No. 27/2022:</w:t>
      </w:r>
      <w:r>
        <w:rPr>
          <w:rFonts w:ascii="Calibri" w:cs="Calibri" w:eastAsia="Calibri" w:hAnsi="Calibri"/>
          <w:color w:val="1E293B"/>
          <w:sz w:val="20"/>
          <w:szCs w:val="20"/>
        </w:rPr>
        <w:t xml:space="preserve"> Matrix ini bukan data pribadi dan tidak tunduk pada ketentuan pemrosesan data pribadi. Distribusinya tidak memerlukan persetujuan (consent) dari pihak manapun.</w:t>
      </w:r>
    </w:p>
    <w:p>
      <w:pPr>
        <w:pStyle w:val="ListParagraph"/>
        <w:numPr>
          <w:ilvl w:val="0"/>
          <w:numId w:val="1"/>
        </w:numPr>
        <w:spacing w:after="40" w:before="40"/>
      </w:pPr>
      <w:r>
        <w:rPr>
          <w:rFonts w:ascii="Calibri" w:cs="Calibri" w:eastAsia="Calibri" w:hAnsi="Calibri"/>
          <w:b/>
          <w:bCs/>
          <w:color w:val="1E293B"/>
          <w:sz w:val="20"/>
          <w:szCs w:val="20"/>
        </w:rPr>
        <w:t xml:space="preserve">Data Minimization:</w:t>
      </w:r>
      <w:r>
        <w:rPr>
          <w:rFonts w:ascii="Calibri" w:cs="Calibri" w:eastAsia="Calibri" w:hAnsi="Calibri"/>
          <w:color w:val="1E293B"/>
          <w:sz w:val="20"/>
          <w:szCs w:val="20"/>
        </w:rPr>
        <w:t xml:space="preserve"> TilikKlaim hanya menggunakan tiga atribut klaim untuk lookup ke matrix: provinsi faskes, kelas perawatan, dan kelompok usia pasien (bukan nama, NIK, atau identitas lain).</w:t>
      </w:r>
    </w:p>
    <w:p>
      <w:pPr>
        <w:pStyle w:val="ListParagraph"/>
        <w:numPr>
          <w:ilvl w:val="0"/>
          <w:numId w:val="1"/>
        </w:numPr>
        <w:spacing w:after="40" w:before="40"/>
      </w:pPr>
      <w:r>
        <w:rPr>
          <w:rFonts w:ascii="Calibri" w:cs="Calibri" w:eastAsia="Calibri" w:hAnsi="Calibri"/>
          <w:b/>
          <w:bCs/>
          <w:color w:val="1E293B"/>
          <w:sz w:val="20"/>
          <w:szCs w:val="20"/>
        </w:rPr>
        <w:t xml:space="preserve">On-Premise Architecture:</w:t>
      </w:r>
      <w:r>
        <w:rPr>
          <w:rFonts w:ascii="Calibri" w:cs="Calibri" w:eastAsia="Calibri" w:hAnsi="Calibri"/>
          <w:color w:val="1E293B"/>
          <w:sz w:val="20"/>
          <w:szCs w:val="20"/>
        </w:rPr>
        <w:t xml:space="preserve"> Matrix berjalan sepenuhnya di infrastruktur faskes. Tidak ada data klaim atau data matrix yang dikirim ke server eksternal.</w:t>
      </w:r>
    </w:p>
    <w:p>
      <w:pPr>
        <w:spacing w:after="60" w:before="60"/>
      </w:pPr>
      <w:r>
        <w:t xml:space="preserve"/>
      </w:r>
    </w:p>
    <w:p>
      <w:pPr>
        <w:pBdr>
          <w:bottom w:val="single" w:color="CBD5E1" w:sz="4" w:space="1"/>
        </w:pBdr>
        <w:spacing w:after="120" w:before="120"/>
      </w:pPr>
      <w:r>
        <w:t xml:space="preserve"/>
      </w:r>
    </w:p>
    <w:p>
      <w:pPr>
        <w:spacing w:after="60" w:before="120"/>
      </w:pPr>
      <w:r>
        <w:rPr>
          <w:rFonts w:ascii="Calibri" w:cs="Calibri" w:eastAsia="Calibri" w:hAnsi="Calibri"/>
          <w:i/>
          <w:iCs/>
          <w:color w:val="64748B"/>
          <w:sz w:val="18"/>
          <w:szCs w:val="18"/>
        </w:rPr>
        <w:t xml:space="preserve">Dokumen ini dipersiapkan sebagai lampiran pendukung proposal TilikKlaim untuk Healthkathon 2026.</w:t>
      </w:r>
      <w:r>
        <w:rPr>
          <w:rFonts w:ascii="Calibri" w:cs="Calibri" w:eastAsia="Calibri" w:hAnsi="Calibri"/>
          <w:i/>
          <w:iCs/>
          <w:color w:val="64748B"/>
          <w:sz w:val="18"/>
          <w:szCs w:val="18"/>
        </w:rPr>
        <w:t xml:space="preserve"> Angka-angka yang disebutkan dapat diverifikasi dari sumber DJSN yang dikutip.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Calibri" w:cs="Calibri" w:eastAsia="Calibri" w:hAnsi="Calibri"/>
      <w:b/>
      <w:bCs/>
      <w:color w:val="0C2461"/>
      <w:sz w:val="28"/>
      <w:szCs w:val="28"/>
    </w:rPr>
  </w:style>
  <w:style w:type="paragraph" w:styleId="Heading2">
    <w:name w:val="Heading 2"/>
    <w:basedOn w:val="Normal"/>
    <w:next w:val="Normal"/>
    <w:pPr>
      <w:spacing w:after="80" w:before="280"/>
      <w:outlineLvl w:val="1"/>
    </w:pPr>
    <w:rPr>
      <w:rFonts w:ascii="Calibri" w:cs="Calibri" w:eastAsia="Calibri" w:hAnsi="Calibri"/>
      <w:b/>
      <w:bCs/>
      <w:color w:val="0C2461"/>
      <w:sz w:val="24"/>
      <w:szCs w:val="24"/>
    </w:rPr>
  </w:style>
  <w:style w:type="paragraph" w:styleId="Heading3">
    <w:name w:val="Heading 3"/>
    <w:basedOn w:val="Normal"/>
    <w:next w:val="Normal"/>
    <w:pPr>
      <w:spacing w:after="60" w:before="200"/>
      <w:outlineLvl w:val="2"/>
    </w:pPr>
    <w:rPr>
      <w:rFonts w:ascii="Calibri" w:cs="Calibri" w:eastAsia="Calibri" w:hAnsi="Calibri"/>
      <w:b/>
      <w:bCs/>
      <w:color w:val="0089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2026-09-11T06:58:50.032Z</dcterms:created>
  <dcterms:modified xsi:type="dcterms:W3CDTF">2026-09-11T06:58:50.050Z</dcterms:modified>
</cp:coreProperties>
</file>

<file path=docProps/custom.xml><?xml version="1.0" encoding="utf-8"?>
<Properties xmlns="http://schemas.openxmlformats.org/officeDocument/2006/custom-properties" xmlns:vt="http://schemas.openxmlformats.org/officeDocument/2006/docPropsVTypes"/>
</file>