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Pr>
      <w:tblGrid>
        <w:gridCol w:w="9360"/>
      </w:tblGrid>
      <w:tr>
        <w:tc>
          <w:tcPr>
            <w:shd w:fill="0058A6" w:val="clear"/>
            <w:tcMar>
              <w:top w:type="dxa" w:w="600"/>
              <w:left w:type="dxa" w:w="720"/>
              <w:bottom w:type="dxa" w:w="400"/>
              <w:right w:type="dxa" w:w="720"/>
            </w:tcMar>
          </w:tcPr>
          <w:p>
            <w:pPr>
              <w:spacing w:after="160" w:before="0" w:line="276" w:lineRule="auto"/>
              <w:jc w:val="center"/>
            </w:pPr>
            <w:r>
              <w:rPr>
                <w:rFonts w:ascii="Calibri" w:cs="Calibri" w:eastAsia="Calibri" w:hAnsi="Calibri"/>
                <w:b/>
                <w:bCs/>
                <w:color w:val="FFFFFF"/>
                <w:sz w:val="64"/>
                <w:szCs w:val="64"/>
              </w:rPr>
              <w:t xml:space="preserve">HEALTHKATHON 2026</w:t>
            </w:r>
          </w:p>
          <w:p>
            <w:pPr>
              <w:spacing w:after="240" w:before="0" w:line="276" w:lineRule="auto"/>
              <w:jc w:val="center"/>
            </w:pPr>
            <w:r>
              <w:rPr>
                <w:rFonts w:ascii="Calibri" w:cs="Calibri" w:eastAsia="Calibri" w:hAnsi="Calibri"/>
                <w:b w:val="false"/>
                <w:bCs w:val="false"/>
                <w:color w:val="D6E4FF"/>
                <w:sz w:val="36"/>
                <w:szCs w:val="36"/>
              </w:rPr>
              <w:t xml:space="preserve">Panduan &amp; Pedoman Kompetisi</w:t>
            </w:r>
          </w:p>
        </w:tc>
      </w:tr>
      <w:tr>
        <w:tc>
          <w:tcPr>
            <w:shd w:fill="E8F0FB" w:val="clear"/>
            <w:tcMar>
              <w:top w:type="dxa" w:w="320"/>
              <w:left w:type="dxa" w:w="720"/>
              <w:bottom w:type="dxa" w:w="320"/>
              <w:right w:type="dxa" w:w="720"/>
            </w:tcMar>
          </w:tcPr>
          <w:p>
            <w:pPr>
              <w:jc w:val="center"/>
            </w:pPr>
            <w:r>
              <w:rPr>
                <w:rFonts w:ascii="Calibri" w:cs="Calibri" w:eastAsia="Calibri" w:hAnsi="Calibri"/>
                <w:b/>
                <w:bCs/>
                <w:color w:val="0058A6"/>
                <w:sz w:val="24"/>
                <w:szCs w:val="24"/>
              </w:rPr>
              <w:t xml:space="preserve">Diselenggarakan oleh BPJS Kesehatan</w:t>
            </w:r>
          </w:p>
          <w:p>
            <w:pPr>
              <w:spacing w:after="0" w:before="80" w:line="276" w:lineRule="auto"/>
              <w:jc w:val="center"/>
            </w:pPr>
            <w:r>
              <w:rPr>
                <w:rFonts w:ascii="Calibri" w:cs="Calibri" w:eastAsia="Calibri" w:hAnsi="Calibri"/>
                <w:color w:val="5A5A72"/>
                <w:sz w:val="22"/>
                <w:szCs w:val="22"/>
              </w:rPr>
              <w:t xml:space="preserve">Bersama Asosiasi Health Tech Indonesia (AHI)</w:t>
            </w:r>
          </w:p>
        </w:tc>
      </w:tr>
    </w:tbl>
    <w:p>
      <w:pPr>
        <w:spacing w:after="60" w:before="60" w:line="276" w:lineRule="auto"/>
      </w:pPr>
    </w:p>
    <w:p>
      <w:pPr>
        <w:spacing w:after="60" w:before="60" w:line="276" w:lineRule="auto"/>
      </w:pPr>
    </w:p>
    <w:p>
      <w:pPr>
        <w:spacing w:after="80" w:before="80" w:line="276" w:lineRule="auto"/>
        <w:jc w:val="center"/>
      </w:pPr>
      <w:r>
        <w:rPr>
          <w:rFonts w:ascii="Calibri" w:cs="Calibri" w:eastAsia="Calibri" w:hAnsi="Calibri"/>
          <w:i/>
          <w:iCs/>
          <w:color w:val="5A5A72"/>
          <w:sz w:val="24"/>
          <w:szCs w:val="24"/>
        </w:rPr>
        <w:t xml:space="preserve">Webinar Series | Inovasi Teknologi JKN</w:t>
      </w:r>
    </w:p>
    <w:p>
      <w:pPr>
        <w:spacing w:after="320" w:before="40" w:line="276" w:lineRule="auto"/>
        <w:jc w:val="center"/>
      </w:pPr>
      <w:r>
        <w:rPr>
          <w:rFonts w:ascii="Calibri" w:cs="Calibri" w:eastAsia="Calibri" w:hAnsi="Calibri"/>
          <w:b/>
          <w:bCs/>
          <w:color w:val="0058A6"/>
          <w:sz w:val="24"/>
          <w:szCs w:val="24"/>
        </w:rPr>
        <w:t xml:space="preserve">Tema: Efisiensi Risiko pada Pelayanan Kesehatan Program JKN</w:t>
      </w: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I  —  PENGANTAR</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1.1  Latar Belakang</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Indonesia telah memasuki era digitalisasi layanan kesehatan yang matang. Lebih dari 90% fasilitas layanan kesehatan telah terkoneksi dengan sistem digital nasional melalui Platform Satu Sehat, dan sebanyak 270 juta rekam medis individu kini terhubung secara elektronik. Capaian ini merupakan fondasi strategis untuk mendorong inovasi berbasis data di sektor kesehatan.</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Di sisi lain, Organisasi Kesehatan Dunia (WHO) memproyeksikan kekurangan sekitar 11 juta tenaga kesehatan secara global pada tahun 2030. Kondisi ini memperkuat urgensi pemanfaatan teknologi—khususnya kecerdasan buatan (Artificial Intelligence/AI)—sebagai solusi sistemik untuk meningkatkan kapasitas, efisiensi, dan kualitas layanan kesehatan.</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Healthkathon 2026 hadir sebagai wadah kompetisi inovasi yang mendorong para inovator Indonesia untuk merancang solusi teknologi kesehatan yang berdampak nyata, berkelanjutan, dan selaras dengan ekosistem Program Jaminan Kesehatan Nasional (JKN).</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1.2  Tujuan Kompetisi</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Mendorong lahirnya inovasi teknologi kesehatan yang berakar pada permasalahan nyata di lapangan.</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Mengakselerasi penerapan teknologi AI dalam peningkatan efisiensi sistem JKN.</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Mempertemukan inovator dengan pemangku kepentingan (BPJS Kesehatan, fasilitas kesehatan, pemberi kerja, dan pemerintah).</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Menumbuhkan ekosistem inovasi kesehatan digital yang berkelanjutan di Indonesia.</w:t>
      </w:r>
    </w:p>
    <w:p>
      <w:pPr>
        <w:spacing w:after="60" w:before="60" w:line="276" w:lineRule="auto"/>
      </w:pP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II  —  TEMA &amp; KATEGORI LOMBA</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2.1  Tema Utama</w:t>
      </w:r>
    </w:p>
    <w:p>
      <w:pPr>
        <w:pBdr>
          <w:left w:val="thick" w:color="0058A6" w:sz="24"/>
        </w:pBdr>
        <w:shd w:fill="E8F0FB" w:val="clear"/>
        <w:spacing w:after="160" w:before="160" w:line="276" w:lineRule="auto"/>
        <w:ind w:left="240" w:right="240"/>
        <w:jc w:val="center"/>
      </w:pPr>
      <w:r>
        <w:rPr>
          <w:rFonts w:ascii="Calibri" w:cs="Calibri" w:eastAsia="Calibri" w:hAnsi="Calibri"/>
          <w:b/>
          <w:bCs/>
          <w:i/>
          <w:iCs/>
          <w:color w:val="0058A6"/>
          <w:sz w:val="24"/>
          <w:szCs w:val="24"/>
        </w:rPr>
        <w:t xml:space="preserve">"Efisiensi Risiko pada Pelayanan Kesehatan Program JKN melalui Pemanfaatan Kecerdasan Buatan (AI)"</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2.2  Kategori Lomba</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Peserta wajib memilih salah satu dari tiga kategori berikut dan hanya diperkenankan mengikuti satu kategori:</w:t>
      </w:r>
    </w:p>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2880"/>
        <w:gridCol w:w="6480"/>
      </w:tblGrid>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Kategori 1</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Efisiensi Risiko pada Peserta — Solusi inovasi yang berfokus pada pengelolaan risiko kesehatan bagi peserta JKN, termasuk program deteksi dini, promosi kesehatan, dan manajemen penyakit kronis.</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Kategori 2</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Efisiensi Risiko pada Fasilitas Kesehatan — Solusi inovasi yang meningkatkan efisiensi operasional, pengelolaan data, atau kualitas layanan di fasilitas kesehatan (Faskes) mitra JKN.</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Kategori 3</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Efisiensi Risiko pada Pemberi Kerja — Solusi inovasi yang membantu perusahaan/pemberi kerja mengelola risiko kesehatan karyawan dan mengoptimalkan program kesehatan kerja.</w:t>
            </w:r>
          </w:p>
        </w:tc>
      </w:tr>
    </w:tbl>
    <w:p>
      <w:pPr>
        <w:spacing w:after="60" w:before="60" w:line="276" w:lineRule="auto"/>
      </w:pPr>
    </w:p>
    <w:p>
      <w:pPr>
        <w:spacing w:after="80" w:before="80" w:line="276" w:lineRule="auto"/>
        <w:jc w:val="both"/>
      </w:pPr>
      <w:r>
        <w:rPr>
          <w:rFonts w:ascii="Calibri" w:cs="Calibri" w:eastAsia="Calibri" w:hAnsi="Calibri"/>
          <w:b w:val="false"/>
          <w:bCs w:val="false"/>
          <w:i/>
          <w:iCs/>
          <w:color w:val="5A5A72"/>
          <w:sz w:val="22"/>
          <w:szCs w:val="22"/>
        </w:rPr>
        <w:t xml:space="preserve">Catatan: Solusi dengan cakupan dampak lintas kategori akan mendapat nilai lebih, namun pendaftaran tetap mengacu pada satu kategori utama.</w:t>
      </w:r>
    </w:p>
    <w:p>
      <w:pPr>
        <w:spacing w:after="60" w:before="60" w:line="276" w:lineRule="auto"/>
      </w:pP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III  —  MEKANISME &amp; TAHAPAN KOMPETISI</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3.1  Alur Kompetisi</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Kompetisi Healthkathon 2026 terdiri dari tujuh tahapan utama yang berjenjang:</w:t>
      </w:r>
    </w:p>
    <w:p>
      <w:pPr>
        <w:spacing w:after="60" w:before="60" w:line="276" w:lineRule="auto"/>
      </w:pPr>
    </w:p>
    <w:tbl>
      <w:tblPr>
        <w:tblW w:type="pct" w:w="100%"/>
        <w:tblBorders>
          <w:top w:val="none"/>
          <w:left w:val="none"/>
          <w:bottom w:val="none"/>
          <w:right w:val="none"/>
          <w:insideH w:val="single" w:color="auto" w:sz="4"/>
          <w:insideV w:val="single" w:color="auto" w:sz="4"/>
        </w:tblBorders>
        <w:tblCellMar>
          <w:top w:type="dxa" w:w="0"/>
          <w:bottom w:type="dxa" w:w="120"/>
        </w:tblCellMar>
      </w:tblPr>
      <w:tblGrid>
        <w:gridCol w:w="800"/>
        <w:gridCol w:w="8560"/>
      </w:tblGrid>
      <w:tr>
        <w:tc>
          <w:tcPr>
            <w:shd w:fill="0058A6" w:val="clear"/>
            <w:tcMar>
              <w:top w:type="dxa" w:w="120"/>
              <w:left w:type="dxa" w:w="160"/>
              <w:bottom w:type="dxa" w:w="120"/>
              <w:right w:type="dxa" w:w="160"/>
            </w:tcMar>
            <w:vAlign w:val="center"/>
          </w:tcPr>
          <w:p>
            <w:pPr>
              <w:jc w:val="center"/>
            </w:pPr>
            <w:r>
              <w:rPr>
                <w:rFonts w:ascii="Calibri" w:cs="Calibri" w:eastAsia="Calibri" w:hAnsi="Calibri"/>
                <w:b/>
                <w:bCs/>
                <w:color w:val="FFFFFF"/>
                <w:sz w:val="26"/>
                <w:szCs w:val="26"/>
              </w:rPr>
              <w:t xml:space="preserve">1</w:t>
            </w:r>
          </w:p>
        </w:tc>
        <w:tc>
          <w:tcPr>
            <w:tcMar>
              <w:top w:type="dxa" w:w="80"/>
              <w:left w:type="dxa" w:w="240"/>
              <w:bottom w:type="dxa" w:w="80"/>
              <w:right w:type="dxa" w:w="80"/>
            </w:tcMar>
          </w:tcPr>
          <w:p>
            <w:pPr>
              <w:spacing w:after="40" w:before="0" w:line="276" w:lineRule="auto"/>
            </w:pPr>
            <w:r>
              <w:rPr>
                <w:rFonts w:ascii="Calibri" w:cs="Calibri" w:eastAsia="Calibri" w:hAnsi="Calibri"/>
                <w:b/>
                <w:bCs/>
                <w:color w:val="0058A6"/>
                <w:sz w:val="22"/>
                <w:szCs w:val="22"/>
              </w:rPr>
              <w:t xml:space="preserve">Registrasi</w:t>
            </w:r>
          </w:p>
          <w:p>
            <w:pPr>
              <w:spacing w:after="80" w:before="0" w:line="276" w:lineRule="auto"/>
            </w:pPr>
            <w:r>
              <w:rPr>
                <w:rFonts w:ascii="Calibri" w:cs="Calibri" w:eastAsia="Calibri" w:hAnsi="Calibri"/>
                <w:color w:val="5A5A72"/>
                <w:sz w:val="20"/>
                <w:szCs w:val="20"/>
              </w:rPr>
              <w:t xml:space="preserve">Pendaftaran peserta melalui kanal resmi Healthkathon 2026. Setiap tim wajib melengkapi formulir pendaftaran dan memilih kategori lomba.</w:t>
            </w:r>
          </w:p>
        </w:tc>
      </w:tr>
    </w:tbl>
    <w:tbl>
      <w:tblPr>
        <w:tblW w:type="pct" w:w="100%"/>
        <w:tblBorders>
          <w:top w:val="none"/>
          <w:left w:val="none"/>
          <w:bottom w:val="none"/>
          <w:right w:val="none"/>
          <w:insideH w:val="single" w:color="auto" w:sz="4"/>
          <w:insideV w:val="single" w:color="auto" w:sz="4"/>
        </w:tblBorders>
        <w:tblCellMar>
          <w:top w:type="dxa" w:w="0"/>
          <w:bottom w:type="dxa" w:w="120"/>
        </w:tblCellMar>
      </w:tblPr>
      <w:tblGrid>
        <w:gridCol w:w="800"/>
        <w:gridCol w:w="8560"/>
      </w:tblGrid>
      <w:tr>
        <w:tc>
          <w:tcPr>
            <w:shd w:fill="0058A6" w:val="clear"/>
            <w:tcMar>
              <w:top w:type="dxa" w:w="120"/>
              <w:left w:type="dxa" w:w="160"/>
              <w:bottom w:type="dxa" w:w="120"/>
              <w:right w:type="dxa" w:w="160"/>
            </w:tcMar>
            <w:vAlign w:val="center"/>
          </w:tcPr>
          <w:p>
            <w:pPr>
              <w:jc w:val="center"/>
            </w:pPr>
            <w:r>
              <w:rPr>
                <w:rFonts w:ascii="Calibri" w:cs="Calibri" w:eastAsia="Calibri" w:hAnsi="Calibri"/>
                <w:b/>
                <w:bCs/>
                <w:color w:val="FFFFFF"/>
                <w:sz w:val="26"/>
                <w:szCs w:val="26"/>
              </w:rPr>
              <w:t xml:space="preserve">2</w:t>
            </w:r>
          </w:p>
        </w:tc>
        <w:tc>
          <w:tcPr>
            <w:tcMar>
              <w:top w:type="dxa" w:w="80"/>
              <w:left w:type="dxa" w:w="240"/>
              <w:bottom w:type="dxa" w:w="80"/>
              <w:right w:type="dxa" w:w="80"/>
            </w:tcMar>
          </w:tcPr>
          <w:p>
            <w:pPr>
              <w:spacing w:after="40" w:before="0" w:line="276" w:lineRule="auto"/>
            </w:pPr>
            <w:r>
              <w:rPr>
                <w:rFonts w:ascii="Calibri" w:cs="Calibri" w:eastAsia="Calibri" w:hAnsi="Calibri"/>
                <w:b/>
                <w:bCs/>
                <w:color w:val="0058A6"/>
                <w:sz w:val="22"/>
                <w:szCs w:val="22"/>
              </w:rPr>
              <w:t xml:space="preserve">Submit Proposal</w:t>
            </w:r>
          </w:p>
          <w:p>
            <w:pPr>
              <w:spacing w:after="80" w:before="0" w:line="276" w:lineRule="auto"/>
            </w:pPr>
            <w:r>
              <w:rPr>
                <w:rFonts w:ascii="Calibri" w:cs="Calibri" w:eastAsia="Calibri" w:hAnsi="Calibri"/>
                <w:color w:val="5A5A72"/>
                <w:sz w:val="20"/>
                <w:szCs w:val="20"/>
              </w:rPr>
              <w:t xml:space="preserve">Peserta yang telah terdaftar mengajukan proposal inovasi sesuai panduan penulisan yang ditetapkan panitia.</w:t>
            </w:r>
          </w:p>
        </w:tc>
      </w:tr>
    </w:tbl>
    <w:tbl>
      <w:tblPr>
        <w:tblW w:type="pct" w:w="100%"/>
        <w:tblBorders>
          <w:top w:val="none"/>
          <w:left w:val="none"/>
          <w:bottom w:val="none"/>
          <w:right w:val="none"/>
          <w:insideH w:val="single" w:color="auto" w:sz="4"/>
          <w:insideV w:val="single" w:color="auto" w:sz="4"/>
        </w:tblBorders>
        <w:tblCellMar>
          <w:top w:type="dxa" w:w="0"/>
          <w:bottom w:type="dxa" w:w="120"/>
        </w:tblCellMar>
      </w:tblPr>
      <w:tblGrid>
        <w:gridCol w:w="800"/>
        <w:gridCol w:w="8560"/>
      </w:tblGrid>
      <w:tr>
        <w:tc>
          <w:tcPr>
            <w:shd w:fill="0058A6" w:val="clear"/>
            <w:tcMar>
              <w:top w:type="dxa" w:w="120"/>
              <w:left w:type="dxa" w:w="160"/>
              <w:bottom w:type="dxa" w:w="120"/>
              <w:right w:type="dxa" w:w="160"/>
            </w:tcMar>
            <w:vAlign w:val="center"/>
          </w:tcPr>
          <w:p>
            <w:pPr>
              <w:jc w:val="center"/>
            </w:pPr>
            <w:r>
              <w:rPr>
                <w:rFonts w:ascii="Calibri" w:cs="Calibri" w:eastAsia="Calibri" w:hAnsi="Calibri"/>
                <w:b/>
                <w:bCs/>
                <w:color w:val="FFFFFF"/>
                <w:sz w:val="26"/>
                <w:szCs w:val="26"/>
              </w:rPr>
              <w:t xml:space="preserve">3</w:t>
            </w:r>
          </w:p>
        </w:tc>
        <w:tc>
          <w:tcPr>
            <w:tcMar>
              <w:top w:type="dxa" w:w="80"/>
              <w:left w:type="dxa" w:w="240"/>
              <w:bottom w:type="dxa" w:w="80"/>
              <w:right w:type="dxa" w:w="80"/>
            </w:tcMar>
          </w:tcPr>
          <w:p>
            <w:pPr>
              <w:spacing w:after="40" w:before="0" w:line="276" w:lineRule="auto"/>
            </w:pPr>
            <w:r>
              <w:rPr>
                <w:rFonts w:ascii="Calibri" w:cs="Calibri" w:eastAsia="Calibri" w:hAnsi="Calibri"/>
                <w:b/>
                <w:bCs/>
                <w:color w:val="0058A6"/>
                <w:sz w:val="22"/>
                <w:szCs w:val="22"/>
              </w:rPr>
              <w:t xml:space="preserve">Seleksi Proposal</w:t>
            </w:r>
          </w:p>
          <w:p>
            <w:pPr>
              <w:spacing w:after="80" w:before="0" w:line="276" w:lineRule="auto"/>
            </w:pPr>
            <w:r>
              <w:rPr>
                <w:rFonts w:ascii="Calibri" w:cs="Calibri" w:eastAsia="Calibri" w:hAnsi="Calibri"/>
                <w:color w:val="5A5A72"/>
                <w:sz w:val="20"/>
                <w:szCs w:val="20"/>
              </w:rPr>
              <w:t xml:space="preserve">Panel juri independen mengevaluasi proposal berdasarkan kriteria penilaian yang telah ditetapkan.</w:t>
            </w:r>
          </w:p>
        </w:tc>
      </w:tr>
    </w:tbl>
    <w:tbl>
      <w:tblPr>
        <w:tblW w:type="pct" w:w="100%"/>
        <w:tblBorders>
          <w:top w:val="none"/>
          <w:left w:val="none"/>
          <w:bottom w:val="none"/>
          <w:right w:val="none"/>
          <w:insideH w:val="single" w:color="auto" w:sz="4"/>
          <w:insideV w:val="single" w:color="auto" w:sz="4"/>
        </w:tblBorders>
        <w:tblCellMar>
          <w:top w:type="dxa" w:w="0"/>
          <w:bottom w:type="dxa" w:w="120"/>
        </w:tblCellMar>
      </w:tblPr>
      <w:tblGrid>
        <w:gridCol w:w="800"/>
        <w:gridCol w:w="8560"/>
      </w:tblGrid>
      <w:tr>
        <w:tc>
          <w:tcPr>
            <w:shd w:fill="0058A6" w:val="clear"/>
            <w:tcMar>
              <w:top w:type="dxa" w:w="120"/>
              <w:left w:type="dxa" w:w="160"/>
              <w:bottom w:type="dxa" w:w="120"/>
              <w:right w:type="dxa" w:w="160"/>
            </w:tcMar>
            <w:vAlign w:val="center"/>
          </w:tcPr>
          <w:p>
            <w:pPr>
              <w:jc w:val="center"/>
            </w:pPr>
            <w:r>
              <w:rPr>
                <w:rFonts w:ascii="Calibri" w:cs="Calibri" w:eastAsia="Calibri" w:hAnsi="Calibri"/>
                <w:b/>
                <w:bCs/>
                <w:color w:val="FFFFFF"/>
                <w:sz w:val="26"/>
                <w:szCs w:val="26"/>
              </w:rPr>
              <w:t xml:space="preserve">4</w:t>
            </w:r>
          </w:p>
        </w:tc>
        <w:tc>
          <w:tcPr>
            <w:tcMar>
              <w:top w:type="dxa" w:w="80"/>
              <w:left w:type="dxa" w:w="240"/>
              <w:bottom w:type="dxa" w:w="80"/>
              <w:right w:type="dxa" w:w="80"/>
            </w:tcMar>
          </w:tcPr>
          <w:p>
            <w:pPr>
              <w:spacing w:after="40" w:before="0" w:line="276" w:lineRule="auto"/>
            </w:pPr>
            <w:r>
              <w:rPr>
                <w:rFonts w:ascii="Calibri" w:cs="Calibri" w:eastAsia="Calibri" w:hAnsi="Calibri"/>
                <w:b/>
                <w:bCs/>
                <w:color w:val="0058A6"/>
                <w:sz w:val="22"/>
                <w:szCs w:val="22"/>
              </w:rPr>
              <w:t xml:space="preserve">Coaching</w:t>
            </w:r>
          </w:p>
          <w:p>
            <w:pPr>
              <w:spacing w:after="80" w:before="0" w:line="276" w:lineRule="auto"/>
            </w:pPr>
            <w:r>
              <w:rPr>
                <w:rFonts w:ascii="Calibri" w:cs="Calibri" w:eastAsia="Calibri" w:hAnsi="Calibri"/>
                <w:color w:val="5A5A72"/>
                <w:sz w:val="20"/>
                <w:szCs w:val="20"/>
              </w:rPr>
              <w:t xml:space="preserve">Tim yang lolos seleksi proposal mendapatkan sesi bimbingan (coaching) dari mentor berpengalaman di bidang health tech dan bisnis.</w:t>
            </w:r>
          </w:p>
        </w:tc>
      </w:tr>
    </w:tbl>
    <w:tbl>
      <w:tblPr>
        <w:tblW w:type="pct" w:w="100%"/>
        <w:tblBorders>
          <w:top w:val="none"/>
          <w:left w:val="none"/>
          <w:bottom w:val="none"/>
          <w:right w:val="none"/>
          <w:insideH w:val="single" w:color="auto" w:sz="4"/>
          <w:insideV w:val="single" w:color="auto" w:sz="4"/>
        </w:tblBorders>
        <w:tblCellMar>
          <w:top w:type="dxa" w:w="0"/>
          <w:bottom w:type="dxa" w:w="120"/>
        </w:tblCellMar>
      </w:tblPr>
      <w:tblGrid>
        <w:gridCol w:w="800"/>
        <w:gridCol w:w="8560"/>
      </w:tblGrid>
      <w:tr>
        <w:tc>
          <w:tcPr>
            <w:shd w:fill="0058A6" w:val="clear"/>
            <w:tcMar>
              <w:top w:type="dxa" w:w="120"/>
              <w:left w:type="dxa" w:w="160"/>
              <w:bottom w:type="dxa" w:w="120"/>
              <w:right w:type="dxa" w:w="160"/>
            </w:tcMar>
            <w:vAlign w:val="center"/>
          </w:tcPr>
          <w:p>
            <w:pPr>
              <w:jc w:val="center"/>
            </w:pPr>
            <w:r>
              <w:rPr>
                <w:rFonts w:ascii="Calibri" w:cs="Calibri" w:eastAsia="Calibri" w:hAnsi="Calibri"/>
                <w:b/>
                <w:bCs/>
                <w:color w:val="FFFFFF"/>
                <w:sz w:val="26"/>
                <w:szCs w:val="26"/>
              </w:rPr>
              <w:t xml:space="preserve">5</w:t>
            </w:r>
          </w:p>
        </w:tc>
        <w:tc>
          <w:tcPr>
            <w:tcMar>
              <w:top w:type="dxa" w:w="80"/>
              <w:left w:type="dxa" w:w="240"/>
              <w:bottom w:type="dxa" w:w="80"/>
              <w:right w:type="dxa" w:w="80"/>
            </w:tcMar>
          </w:tcPr>
          <w:p>
            <w:pPr>
              <w:spacing w:after="40" w:before="0" w:line="276" w:lineRule="auto"/>
            </w:pPr>
            <w:r>
              <w:rPr>
                <w:rFonts w:ascii="Calibri" w:cs="Calibri" w:eastAsia="Calibri" w:hAnsi="Calibri"/>
                <w:b/>
                <w:bCs/>
                <w:color w:val="0058A6"/>
                <w:sz w:val="22"/>
                <w:szCs w:val="22"/>
              </w:rPr>
              <w:t xml:space="preserve">Hackathon Event</w:t>
            </w:r>
          </w:p>
          <w:p>
            <w:pPr>
              <w:spacing w:after="80" w:before="0" w:line="276" w:lineRule="auto"/>
            </w:pPr>
            <w:r>
              <w:rPr>
                <w:rFonts w:ascii="Calibri" w:cs="Calibri" w:eastAsia="Calibri" w:hAnsi="Calibri"/>
                <w:color w:val="5A5A72"/>
                <w:sz w:val="20"/>
                <w:szCs w:val="20"/>
              </w:rPr>
              <w:t xml:space="preserve">Peserta terpilih mengikuti sesi hackathon intensif untuk mengembangkan prototipe solusi inovasi.</w:t>
            </w:r>
          </w:p>
        </w:tc>
      </w:tr>
    </w:tbl>
    <w:tbl>
      <w:tblPr>
        <w:tblW w:type="pct" w:w="100%"/>
        <w:tblBorders>
          <w:top w:val="none"/>
          <w:left w:val="none"/>
          <w:bottom w:val="none"/>
          <w:right w:val="none"/>
          <w:insideH w:val="single" w:color="auto" w:sz="4"/>
          <w:insideV w:val="single" w:color="auto" w:sz="4"/>
        </w:tblBorders>
        <w:tblCellMar>
          <w:top w:type="dxa" w:w="0"/>
          <w:bottom w:type="dxa" w:w="120"/>
        </w:tblCellMar>
      </w:tblPr>
      <w:tblGrid>
        <w:gridCol w:w="800"/>
        <w:gridCol w:w="8560"/>
      </w:tblGrid>
      <w:tr>
        <w:tc>
          <w:tcPr>
            <w:shd w:fill="0058A6" w:val="clear"/>
            <w:tcMar>
              <w:top w:type="dxa" w:w="120"/>
              <w:left w:type="dxa" w:w="160"/>
              <w:bottom w:type="dxa" w:w="120"/>
              <w:right w:type="dxa" w:w="160"/>
            </w:tcMar>
            <w:vAlign w:val="center"/>
          </w:tcPr>
          <w:p>
            <w:pPr>
              <w:jc w:val="center"/>
            </w:pPr>
            <w:r>
              <w:rPr>
                <w:rFonts w:ascii="Calibri" w:cs="Calibri" w:eastAsia="Calibri" w:hAnsi="Calibri"/>
                <w:b/>
                <w:bCs/>
                <w:color w:val="FFFFFF"/>
                <w:sz w:val="26"/>
                <w:szCs w:val="26"/>
              </w:rPr>
              <w:t xml:space="preserve">6</w:t>
            </w:r>
          </w:p>
        </w:tc>
        <w:tc>
          <w:tcPr>
            <w:tcMar>
              <w:top w:type="dxa" w:w="80"/>
              <w:left w:type="dxa" w:w="240"/>
              <w:bottom w:type="dxa" w:w="80"/>
              <w:right w:type="dxa" w:w="80"/>
            </w:tcMar>
          </w:tcPr>
          <w:p>
            <w:pPr>
              <w:spacing w:after="40" w:before="0" w:line="276" w:lineRule="auto"/>
            </w:pPr>
            <w:r>
              <w:rPr>
                <w:rFonts w:ascii="Calibri" w:cs="Calibri" w:eastAsia="Calibri" w:hAnsi="Calibri"/>
                <w:b/>
                <w:bCs/>
                <w:color w:val="0058A6"/>
                <w:sz w:val="22"/>
                <w:szCs w:val="22"/>
              </w:rPr>
              <w:t xml:space="preserve">Demo Day / Grand Final</w:t>
            </w:r>
          </w:p>
          <w:p>
            <w:pPr>
              <w:spacing w:after="80" w:before="0" w:line="276" w:lineRule="auto"/>
            </w:pPr>
            <w:r>
              <w:rPr>
                <w:rFonts w:ascii="Calibri" w:cs="Calibri" w:eastAsia="Calibri" w:hAnsi="Calibri"/>
                <w:color w:val="5A5A72"/>
                <w:sz w:val="20"/>
                <w:szCs w:val="20"/>
              </w:rPr>
              <w:t xml:space="preserve">Tim terbaik mempresentasikan solusi di hadapan panel juri dan pemangku kepentingan dalam ajang Demo Day.</w:t>
            </w:r>
          </w:p>
        </w:tc>
      </w:tr>
    </w:tbl>
    <w:tbl>
      <w:tblPr>
        <w:tblW w:type="pct" w:w="100%"/>
        <w:tblBorders>
          <w:top w:val="none"/>
          <w:left w:val="none"/>
          <w:bottom w:val="none"/>
          <w:right w:val="none"/>
          <w:insideH w:val="single" w:color="auto" w:sz="4"/>
          <w:insideV w:val="single" w:color="auto" w:sz="4"/>
        </w:tblBorders>
        <w:tblCellMar>
          <w:top w:type="dxa" w:w="0"/>
          <w:bottom w:type="dxa" w:w="120"/>
        </w:tblCellMar>
      </w:tblPr>
      <w:tblGrid>
        <w:gridCol w:w="800"/>
        <w:gridCol w:w="8560"/>
      </w:tblGrid>
      <w:tr>
        <w:tc>
          <w:tcPr>
            <w:shd w:fill="0058A6" w:val="clear"/>
            <w:tcMar>
              <w:top w:type="dxa" w:w="120"/>
              <w:left w:type="dxa" w:w="160"/>
              <w:bottom w:type="dxa" w:w="120"/>
              <w:right w:type="dxa" w:w="160"/>
            </w:tcMar>
            <w:vAlign w:val="center"/>
          </w:tcPr>
          <w:p>
            <w:pPr>
              <w:jc w:val="center"/>
            </w:pPr>
            <w:r>
              <w:rPr>
                <w:rFonts w:ascii="Calibri" w:cs="Calibri" w:eastAsia="Calibri" w:hAnsi="Calibri"/>
                <w:b/>
                <w:bCs/>
                <w:color w:val="FFFFFF"/>
                <w:sz w:val="26"/>
                <w:szCs w:val="26"/>
              </w:rPr>
              <w:t xml:space="preserve">7</w:t>
            </w:r>
          </w:p>
        </w:tc>
        <w:tc>
          <w:tcPr>
            <w:tcMar>
              <w:top w:type="dxa" w:w="80"/>
              <w:left w:type="dxa" w:w="240"/>
              <w:bottom w:type="dxa" w:w="80"/>
              <w:right w:type="dxa" w:w="80"/>
            </w:tcMar>
          </w:tcPr>
          <w:p>
            <w:pPr>
              <w:spacing w:after="40" w:before="0" w:line="276" w:lineRule="auto"/>
            </w:pPr>
            <w:r>
              <w:rPr>
                <w:rFonts w:ascii="Calibri" w:cs="Calibri" w:eastAsia="Calibri" w:hAnsi="Calibri"/>
                <w:b/>
                <w:bCs/>
                <w:color w:val="0058A6"/>
                <w:sz w:val="22"/>
                <w:szCs w:val="22"/>
              </w:rPr>
              <w:t xml:space="preserve">Pengumuman Pemenang</w:t>
            </w:r>
          </w:p>
          <w:p>
            <w:pPr>
              <w:spacing w:after="80" w:before="0" w:line="276" w:lineRule="auto"/>
            </w:pPr>
            <w:r>
              <w:rPr>
                <w:rFonts w:ascii="Calibri" w:cs="Calibri" w:eastAsia="Calibri" w:hAnsi="Calibri"/>
                <w:color w:val="5A5A72"/>
                <w:sz w:val="20"/>
                <w:szCs w:val="20"/>
              </w:rPr>
              <w:t xml:space="preserve">Pengumuman resmi tiga tim pemenang utama beserta penghargaan yang diterima.</w:t>
            </w:r>
          </w:p>
        </w:tc>
      </w:tr>
    </w:tbl>
    <w:p>
      <w:pPr>
        <w:spacing w:after="60" w:before="60" w:line="276" w:lineRule="auto"/>
      </w:pP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IV  —  PANDUAN PENGEMBANGAN INOVASI</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4.1  Prinsip Dasar Inovasi</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Inovasi yang kuat berakar pada masalah yang nyata, bukan pada teknologi yang tersedia. Peserta dianjurkan untuk memulai perancangan solusi dari identifikasi masalah (problem-first approach), bukan dari teknologi yang ingin digunakan (technology-first approach).</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4.2  Kerangka Pengembangan Solusi (4-Step Framework)</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Gunakan kerangka empat langkah berikut sebagai panduan dalam merancang dan menyusun proposal inovasi:</w:t>
      </w:r>
    </w:p>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9360"/>
      </w:tblGrid>
      <w:tr>
        <w:tc>
          <w:tcPr>
            <w:gridSpan w:val="1"/>
            <w:shd w:fill="0058A6" w:val="clear"/>
            <w:tcMar>
              <w:top w:type="dxa" w:w="120"/>
              <w:left w:type="dxa" w:w="240"/>
              <w:bottom w:type="dxa" w:w="120"/>
              <w:right w:type="dxa" w:w="240"/>
            </w:tcMar>
          </w:tcPr>
          <w:p>
            <w:r>
              <w:rPr>
                <w:rFonts w:ascii="Calibri" w:cs="Calibri" w:eastAsia="Calibri" w:hAnsi="Calibri"/>
                <w:b/>
                <w:bCs/>
                <w:color w:val="FFFFFF"/>
                <w:sz w:val="22"/>
                <w:szCs w:val="22"/>
              </w:rPr>
              <w:t xml:space="preserve">Langkah 1 — Identifikasi Masalah (Problem)</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Masalah apa yang ingin diselesaikan?</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Seberapa signifikan dampak masalah tersebut terhadap sistem kesehatan/JKN?</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Apakah masalah tersebut sudah divalidasi langsung dengan pengguna atau pemangku kepentingan di lapangan?</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Mengapa masalah ini belum terselesaikan hingga saat ini?</w:t>
            </w:r>
          </w:p>
        </w:tc>
      </w:tr>
    </w:tbl>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9360"/>
      </w:tblGrid>
      <w:tr>
        <w:tc>
          <w:tcPr>
            <w:gridSpan w:val="1"/>
            <w:shd w:fill="0058A6" w:val="clear"/>
            <w:tcMar>
              <w:top w:type="dxa" w:w="120"/>
              <w:left w:type="dxa" w:w="240"/>
              <w:bottom w:type="dxa" w:w="120"/>
              <w:right w:type="dxa" w:w="240"/>
            </w:tcMar>
          </w:tcPr>
          <w:p>
            <w:r>
              <w:rPr>
                <w:rFonts w:ascii="Calibri" w:cs="Calibri" w:eastAsia="Calibri" w:hAnsi="Calibri"/>
                <w:b/>
                <w:bCs/>
                <w:color w:val="FFFFFF"/>
                <w:sz w:val="22"/>
                <w:szCs w:val="22"/>
              </w:rPr>
              <w:t xml:space="preserve">Langkah 2 — Identifikasi Pengguna &amp; Pelanggan (User &amp; Payer)</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Siapa pengguna langsung (user) dari solusi yang akan dibangun?</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Siapa yang akan membayar atau menjadi pelanggan (payer/customer) dari solusi ini?</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Di ekosistem kesehatan JKN, pelanggan potensial mencakup: Rumah Sakit / Faskes, Perusahaan / Pemberi Kerja, Asuransi (BPJS Kesehatan / Swasta), Pemerintah.</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Siapa yang paling merasakan kerugian jika masalah ini tidak diselesaikan?</w:t>
            </w:r>
          </w:p>
        </w:tc>
      </w:tr>
    </w:tbl>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9360"/>
      </w:tblGrid>
      <w:tr>
        <w:tc>
          <w:tcPr>
            <w:gridSpan w:val="1"/>
            <w:shd w:fill="0058A6" w:val="clear"/>
            <w:tcMar>
              <w:top w:type="dxa" w:w="120"/>
              <w:left w:type="dxa" w:w="240"/>
              <w:bottom w:type="dxa" w:w="120"/>
              <w:right w:type="dxa" w:w="240"/>
            </w:tcMar>
          </w:tcPr>
          <w:p>
            <w:r>
              <w:rPr>
                <w:rFonts w:ascii="Calibri" w:cs="Calibri" w:eastAsia="Calibri" w:hAnsi="Calibri"/>
                <w:b/>
                <w:bCs/>
                <w:color w:val="FFFFFF"/>
                <w:sz w:val="22"/>
                <w:szCs w:val="22"/>
              </w:rPr>
              <w:t xml:space="preserve">Langkah 3 — Rancang Solusi &amp; Nilai Tambah (Solution &amp; Value)</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Seperti apa solusi atau intervensi yang akan dibangun?</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Nilai tambah apa yang ditawarkan kepada pelanggan? (contoh: penghematan biaya, peningkatan pendapatan, pengelolaan risiko, peningkatan produktivitas)</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Komunikasikan nilai dalam bahasa bisnis, bukan hanya bahasa teknologi.</w:t>
            </w:r>
          </w:p>
        </w:tc>
      </w:tr>
    </w:tbl>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9360"/>
      </w:tblGrid>
      <w:tr>
        <w:tc>
          <w:tcPr>
            <w:gridSpan w:val="1"/>
            <w:shd w:fill="0058A6" w:val="clear"/>
            <w:tcMar>
              <w:top w:type="dxa" w:w="120"/>
              <w:left w:type="dxa" w:w="240"/>
              <w:bottom w:type="dxa" w:w="120"/>
              <w:right w:type="dxa" w:w="240"/>
            </w:tcMar>
          </w:tcPr>
          <w:p>
            <w:r>
              <w:rPr>
                <w:rFonts w:ascii="Calibri" w:cs="Calibri" w:eastAsia="Calibri" w:hAnsi="Calibri"/>
                <w:b/>
                <w:bCs/>
                <w:color w:val="FFFFFF"/>
                <w:sz w:val="22"/>
                <w:szCs w:val="22"/>
              </w:rPr>
              <w:t xml:space="preserve">Langkah 4 — Bukti Dampak (Proven Outcome &amp; Evidence)</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Bagaimana cara membuktikan bahwa solusi ini efektif?</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Apakah terdapat business case, studi kasus, atau data pendukung?</w:t>
            </w:r>
          </w:p>
        </w:tc>
      </w:tr>
      <w:tr>
        <w:tc>
          <w:tcPr>
            <w:shd w:fill="E8F0FB" w:val="clear"/>
            <w:tcMar>
              <w:top w:type="dxa" w:w="100"/>
              <w:left w:type="dxa" w:w="300"/>
              <w:bottom w:type="dxa" w:w="100"/>
              <w:right w:type="dxa" w:w="240"/>
            </w:tcMar>
          </w:tcPr>
          <w:p>
            <w:pPr>
              <w:spacing w:after="60" w:before="60" w:line="276" w:lineRule="auto"/>
            </w:pPr>
            <w:r>
              <w:rPr>
                <w:rFonts w:ascii="Calibri" w:cs="Calibri" w:eastAsia="Calibri" w:hAnsi="Calibri"/>
                <w:color w:val="1A1A2E"/>
                <w:sz w:val="21"/>
                <w:szCs w:val="21"/>
              </w:rPr>
              <w:t xml:space="preserve">• Apakah solusi membuat sistem lebih efisien ATAU layanan lebih efektif?</w:t>
            </w:r>
          </w:p>
        </w:tc>
      </w:tr>
    </w:tbl>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4.3  Pemilihan Teknologi AI</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Pilih kapabilitas teknologi yang paling sesuai dengan permasalahan yang ingin diselesaikan:</w:t>
      </w:r>
    </w:p>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2880"/>
        <w:gridCol w:w="6480"/>
      </w:tblGrid>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Computer Vision</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Untuk input berupa gambar/video: deteksi objek, klasifikasi, segmentasi. Contoh: deteksi abnormalitas pada hasil X-ray atau CT-scan, pemantauan aktivitas pasien.</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Large Language Model (LLM)</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Untuk pemahaman dan generasi teks: ringkasan dokumen medis, chatbot layanan kesehatan, dukungan keputusan klinis berbasis teks.</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Vision Language Model (VLM)</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Untuk pemahaman kontekstual gabungan gambar dan teks: analisis hasil pencitraan medis dengan konteks klinis.</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Predictive Analytics (ML)</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Untuk prediksi berbasis data historis: deteksi kecurangan klaim, prediksi risiko penyakit kronis, optimasi sumber daya faskes.</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Model Medis Khusus (MedGemma)</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Model open-source yang dilatih dengan data medis. Dapat dikombinasikan dengan fine-tuning untuk domain spesifik.</w:t>
            </w:r>
          </w:p>
        </w:tc>
      </w:tr>
    </w:tbl>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4.4  Winning Principles</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Inovasi yang kuat memenuhi tiga prinsip berikut:</w:t>
      </w:r>
    </w:p>
    <w:p>
      <w:pPr>
        <w:spacing w:after="60" w:before="60" w:line="276" w:lineRule="auto"/>
      </w:pP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Selaras dengan Standar Nasional — Solusi harus kompatibel dengan ekosistem digital kesehatan nasional (Platform Satu Sehat, standar interoperabilitas HL7/FHIR, regulasi Kemenkes RI).</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Berakar pada Masalah Nyata — Masalah divalidasi dari pengguna atau data lapangan, bukan asumsi semata.</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Memperhatikan Wilayah Tertinggal — Pertimbangkan dampak solusi bagi masyarakat di daerah terpencil atau yang belum terlayani dengan baik.</w:t>
      </w:r>
    </w:p>
    <w:p>
      <w:pPr>
        <w:spacing w:after="60" w:before="60" w:line="276" w:lineRule="auto"/>
      </w:pP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V  —  TANTANGAN &amp; PERTIMBANGAN KHUSUS</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5.1  Tantangan Unik Industri Kesehatan</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Berbeda dengan industri lain, inovasi di bidang kesehatan memiliki lapisan tantangan tambahan yang wajib dipertimbangkan sejak tahap perancangan:</w:t>
      </w:r>
    </w:p>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2880"/>
        <w:gridCol w:w="6480"/>
      </w:tblGrid>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Keamanan Klinis</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Prinsip primum non nocere (pertama, jangan membahayakan) berlaku mutlak. Setiap inovasi yang bersentuhan langsung dengan pasien harus melewati validasi klinis.</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Regulasi Berlapis</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Inovasi tunduk pada regulasi Kemenkes, peraturan asosiasi profesi medis, dan regulasi industri asuransi secara bersamaan.</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Privasi &amp; Keamanan Data</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Data kesehatan termasuk kategori data sensitif. Wajib memenuhi ketentuan UU PDP dan standar keamanan data kesehatan nasional.</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Integrasi Alur Kerja</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Solusi harus dapat diintegrasikan ke dalam alur kerja (workflow) yang sudah berjalan di faskes tanpa mengganggu operasional.</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Bukti Berbasis Evidensi</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Klaim efektivitas solusi harus didukung data atau business case yang dapat diverifikasi.</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Tata Kelola (Governance)</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Struktur tata kelola yang jelas diperlukan untuk memastikan keberlanjutan dan akuntabilitas solusi.</w:t>
            </w:r>
          </w:p>
        </w:tc>
      </w:tr>
    </w:tbl>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5.2  Pertanyaan Kunci Sebelum Membangun Prototipe</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Sebelum memulai pengembangan, pastikan Anda dapat menjawab lima pertanyaan berikut:</w:t>
      </w:r>
    </w:p>
    <w:p>
      <w:pPr>
        <w:spacing w:after="60" w:before="60" w:line="276" w:lineRule="auto"/>
      </w:pPr>
    </w:p>
    <w:p>
      <w:pPr>
        <w:pStyle w:val="ListParagraph"/>
        <w:numPr>
          <w:ilvl w:val="0"/>
          <w:numId w:val="2"/>
        </w:numPr>
        <w:spacing w:after="60" w:before="60" w:line="276" w:lineRule="auto"/>
      </w:pPr>
      <w:r>
        <w:rPr>
          <w:rFonts w:ascii="Calibri" w:cs="Calibri" w:eastAsia="Calibri" w:hAnsi="Calibri"/>
          <w:color w:val="1A1A2E"/>
          <w:sz w:val="22"/>
          <w:szCs w:val="22"/>
        </w:rPr>
        <w:t xml:space="preserve">Siapa yang akan merasakan dampak langsung dari solusi ini?</w:t>
      </w:r>
    </w:p>
    <w:p>
      <w:pPr>
        <w:pStyle w:val="ListParagraph"/>
        <w:numPr>
          <w:ilvl w:val="0"/>
          <w:numId w:val="2"/>
        </w:numPr>
        <w:spacing w:after="60" w:before="60" w:line="276" w:lineRule="auto"/>
      </w:pPr>
      <w:r>
        <w:rPr>
          <w:rFonts w:ascii="Calibri" w:cs="Calibri" w:eastAsia="Calibri" w:hAnsi="Calibri"/>
          <w:color w:val="1A1A2E"/>
          <w:sz w:val="22"/>
          <w:szCs w:val="22"/>
        </w:rPr>
        <w:t xml:space="preserve">Seberapa sering solusi ini akan digunakan dalam praktik nyata?</w:t>
      </w:r>
    </w:p>
    <w:p>
      <w:pPr>
        <w:pStyle w:val="ListParagraph"/>
        <w:numPr>
          <w:ilvl w:val="0"/>
          <w:numId w:val="2"/>
        </w:numPr>
        <w:spacing w:after="60" w:before="60" w:line="276" w:lineRule="auto"/>
      </w:pPr>
      <w:r>
        <w:rPr>
          <w:rFonts w:ascii="Calibri" w:cs="Calibri" w:eastAsia="Calibri" w:hAnsi="Calibri"/>
          <w:color w:val="1A1A2E"/>
          <w:sz w:val="22"/>
          <w:szCs w:val="22"/>
        </w:rPr>
        <w:t xml:space="preserve">Berapa biaya implementasi solusi ini, dan berapa biaya yang timbul jika masalah ini TIDAK diselesaikan (cost of inaction)?</w:t>
      </w:r>
    </w:p>
    <w:p>
      <w:pPr>
        <w:pStyle w:val="ListParagraph"/>
        <w:numPr>
          <w:ilvl w:val="0"/>
          <w:numId w:val="2"/>
        </w:numPr>
        <w:spacing w:after="60" w:before="60" w:line="276" w:lineRule="auto"/>
      </w:pPr>
      <w:r>
        <w:rPr>
          <w:rFonts w:ascii="Calibri" w:cs="Calibri" w:eastAsia="Calibri" w:hAnsi="Calibri"/>
          <w:color w:val="1A1A2E"/>
          <w:sz w:val="22"/>
          <w:szCs w:val="22"/>
        </w:rPr>
        <w:t xml:space="preserve">Apa alternatif atau solusi yang sudah ada saat ini?</w:t>
      </w:r>
    </w:p>
    <w:p>
      <w:pPr>
        <w:pStyle w:val="ListParagraph"/>
        <w:numPr>
          <w:ilvl w:val="0"/>
          <w:numId w:val="2"/>
        </w:numPr>
        <w:spacing w:after="60" w:before="60" w:line="276" w:lineRule="auto"/>
      </w:pPr>
      <w:r>
        <w:rPr>
          <w:rFonts w:ascii="Calibri" w:cs="Calibri" w:eastAsia="Calibri" w:hAnsi="Calibri"/>
          <w:color w:val="1A1A2E"/>
          <w:sz w:val="22"/>
          <w:szCs w:val="22"/>
        </w:rPr>
        <w:t xml:space="preserve">Apakah ada regulasi atau kebijakan yang berpotensi menghambat penerapan solusi ini?</w:t>
      </w:r>
    </w:p>
    <w:p>
      <w:pPr>
        <w:spacing w:after="60" w:before="60" w:line="276" w:lineRule="auto"/>
      </w:pP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VI  —  EKOSISTEM &amp; LANSKAP TEKNOLOGI KESEHATAN 2026</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6.1  Tiga Lapisan Fundamental</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Asosiasi Health Tech Indonesia (AHI) mengidentifikasi tiga lapisan utama yang membentuk ekosistem teknologi kesehatan di Indonesia pada 2026:</w:t>
      </w:r>
    </w:p>
    <w:p>
      <w:pPr>
        <w:spacing w:after="60" w:before="60" w:line="276" w:lineRule="auto"/>
      </w:pP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Interoperabilitas — Standarisasi dan pertukaran data antar sistem kesehatan untuk memungkinkan pemanfaatan data rekam medis secara terintegrasi.</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Efisiensi Alur Kerja (Workflow Efficiency) — Peningkatan efisiensi operasional yang mencakup seluruh pemangku kepentingan: pasien, tenaga kesehatan, faskes, asuransi, dan pemberi kerja.</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Ekosistem Inovasi — Penguatan ekosistem yang memastikan inovasi dapat bertahan dan berkembang secara berkelanjutan (sustainable innovation).</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6.2  Empat Pendorong Utama (Key Drivers)</w:t>
      </w:r>
    </w:p>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2880"/>
        <w:gridCol w:w="6480"/>
      </w:tblGrid>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Modernisasi Rumah Sakit</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Lebih dari 80% pembiayaan kesehatan mengalir ke rumah sakit, menjadikannya prioritas utama dalam transformasi digital.</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Pemanfaatan Data</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Data rekam medis dari 270 juta individu menjadi aset strategis untuk profiling risiko pembiayaan dan manajemen penyakit kronis.</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Penguatan Layanan Primer</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Meningkatkan kapasitas klinik dan Puskesmas untuk memperluas cakupan layanan dan mengurangi beban rujukan.</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AI &amp; Teknologi Emerging</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Kecerdasan buatan membuka peluang besar dalam deteksi dini, otomatisasi administratif, dan dukungan keputusan klinis.</w:t>
            </w:r>
          </w:p>
        </w:tc>
      </w:tr>
    </w:tbl>
    <w:p>
      <w:pPr>
        <w:spacing w:after="60" w:before="60" w:line="276" w:lineRule="auto"/>
      </w:pP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VII  —  KRITERIA PENILAIAN</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7.1  Aspek Penilaian Proposal &amp; Prototipe</w:t>
      </w:r>
    </w:p>
    <w:p>
      <w:pPr>
        <w:spacing w:after="60" w:before="60" w:line="276"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2880"/>
        <w:gridCol w:w="6480"/>
      </w:tblGrid>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Relevansi Masalah</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Kejelasan dan validitas masalah yang diangkat, serta relevansinya dengan ekosistem JKN.</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Kelayakan Solusi</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Ketepatan pemilihan teknologi, kejelasan arsitektur solusi, dan potensi implementasi nyata.</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Dampak &amp; Skala</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Potensi dampak terhadap efisiensi sistem JKN dan kemampuan solusi untuk diskalakan secara nasional.</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Model Keberlanjutan</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Kejelasan model bisnis, identifikasi pelanggan (payer), dan strategi keberlanjutan jangka panjang.</w:t>
            </w:r>
          </w:p>
        </w:tc>
      </w:tr>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Bukti &amp; Evidensi</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Kekuatan business case, data pendukung, atau hasil uji coba/piloting yang disertakan.</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Keamanan &amp; Kepatuhan</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Pemenuhan aspek keamanan data, privasi, dan kepatuhan terhadap regulasi yang berlaku.</w:t>
            </w:r>
          </w:p>
        </w:tc>
      </w:tr>
    </w:tbl>
    <w:p>
      <w:pPr>
        <w:spacing w:after="60" w:before="60" w:line="276" w:lineRule="auto"/>
      </w:pPr>
    </w:p>
    <w:p>
      <w:pPr>
        <w:pBdr>
          <w:bottom w:val="single" w:color="CBD5E0" w:sz="4"/>
        </w:pBdr>
        <w:spacing w:after="80" w:before="80" w:line="276" w:lineRule="auto"/>
      </w:pPr>
    </w:p>
    <w:p>
      <w:pPr>
        <w:spacing w:after="60" w:before="60" w:line="276" w:lineRule="auto"/>
      </w:pPr>
    </w:p>
    <w:p>
      <w:pPr>
        <w:pStyle w:val="Heading1"/>
        <w:shd w:fill="0058A6" w:val="clear"/>
        <w:spacing w:after="160" w:before="240" w:line="276" w:lineRule="auto"/>
        <w:ind w:left="288" w:right="288"/>
        <w:jc w:val="left"/>
      </w:pPr>
      <w:r>
        <w:rPr>
          <w:rFonts w:ascii="Calibri" w:cs="Calibri" w:eastAsia="Calibri" w:hAnsi="Calibri"/>
          <w:b/>
          <w:bCs/>
          <w:color w:val="FFFFFF"/>
          <w:sz w:val="32"/>
          <w:szCs w:val="32"/>
        </w:rPr>
        <w:t xml:space="preserve">BAB VIII  —  INFORMASI PENTING</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8.1  Data Sample</w:t>
      </w:r>
    </w:p>
    <w:p>
      <w:pPr>
        <w:spacing w:after="80" w:before="80" w:line="276" w:lineRule="auto"/>
        <w:jc w:val="both"/>
      </w:pPr>
      <w:r>
        <w:rPr>
          <w:rFonts w:ascii="Calibri" w:cs="Calibri" w:eastAsia="Calibri" w:hAnsi="Calibri"/>
          <w:b w:val="false"/>
          <w:bCs w:val="false"/>
          <w:i w:val="false"/>
          <w:iCs w:val="false"/>
          <w:color w:val="1A1A2E"/>
          <w:sz w:val="22"/>
          <w:szCs w:val="22"/>
        </w:rPr>
        <w:t xml:space="preserve">Peserta dapat mengakses data sample untuk keperluan pengembangan solusi melalui tautan resmi berikut:</w:t>
      </w:r>
    </w:p>
    <w:p>
      <w:pPr>
        <w:shd w:fill="E8F0FB" w:val="clear"/>
        <w:spacing w:after="120" w:before="120" w:line="276" w:lineRule="auto"/>
        <w:ind w:left="360" w:right="360"/>
      </w:pPr>
      <w:r>
        <w:rPr>
          <w:rFonts w:ascii="Calibri" w:cs="Calibri" w:eastAsia="Calibri" w:hAnsi="Calibri"/>
          <w:b/>
          <w:bCs/>
          <w:color w:val="0058A6"/>
          <w:sz w:val="22"/>
          <w:szCs w:val="22"/>
        </w:rPr>
        <w:t xml:space="preserve">Portal Data BPJS Kesehatan: </w:t>
      </w:r>
      <w:r>
        <w:rPr>
          <w:rFonts w:ascii="Calibri" w:cs="Calibri" w:eastAsia="Calibri" w:hAnsi="Calibri"/>
          <w:color w:val="00897B"/>
          <w:sz w:val="22"/>
          <w:szCs w:val="22"/>
          <w:u w:val="single"/>
        </w:rPr>
        <w:t xml:space="preserve">https://slicedata.bpjs-kesehatan.go.id</w:t>
      </w:r>
    </w:p>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8.2  Narasumber Webinar Series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80"/>
        </w:tblCellMar>
      </w:tblPr>
      <w:tblGrid>
        <w:gridCol w:w="2880"/>
        <w:gridCol w:w="6480"/>
      </w:tblGrid>
      <w:tr>
        <w:tc>
          <w:tcPr>
            <w:shd w:fill="E8F0FB" w:val="clear"/>
            <w:tcMar>
              <w:top w:type="dxa" w:w="100"/>
              <w:left w:type="dxa" w:w="200"/>
              <w:bottom w:type="dxa" w:w="100"/>
              <w:right w:type="dxa" w:w="200"/>
            </w:tcMar>
          </w:tcPr>
          <w:p>
            <w:r>
              <w:rPr>
                <w:rFonts w:ascii="Calibri" w:cs="Calibri" w:eastAsia="Calibri" w:hAnsi="Calibri"/>
                <w:b/>
                <w:bCs/>
                <w:color w:val="0058A6"/>
                <w:sz w:val="21"/>
                <w:szCs w:val="21"/>
              </w:rPr>
              <w:t xml:space="preserve">Dr. Hafiz Al-Hadi Lukman, MBA</w:t>
            </w:r>
          </w:p>
        </w:tc>
        <w:tc>
          <w:tcPr>
            <w:shd w:fill="E8F0FB" w:val="clear"/>
            <w:tcMar>
              <w:top w:type="dxa" w:w="100"/>
              <w:left w:type="dxa" w:w="200"/>
              <w:bottom w:type="dxa" w:w="100"/>
              <w:right w:type="dxa" w:w="200"/>
            </w:tcMar>
          </w:tcPr>
          <w:p>
            <w:r>
              <w:rPr>
                <w:rFonts w:ascii="Calibri" w:cs="Calibri" w:eastAsia="Calibri" w:hAnsi="Calibri"/>
                <w:color w:val="1A1A2E"/>
                <w:sz w:val="21"/>
                <w:szCs w:val="21"/>
              </w:rPr>
              <w:t xml:space="preserve">Ketua Umum Asosiasi Health Tech Indonesia (AHI). Pakar lanskap teknologi kesehatan dan panduan praktis inovasi haltech di Indonesia.</w:t>
            </w:r>
          </w:p>
        </w:tc>
      </w:tr>
      <w:tr>
        <w:tc>
          <w:tcPr>
            <w:shd w:fill="FFFFFF" w:val="clear"/>
            <w:tcMar>
              <w:top w:type="dxa" w:w="100"/>
              <w:left w:type="dxa" w:w="200"/>
              <w:bottom w:type="dxa" w:w="100"/>
              <w:right w:type="dxa" w:w="200"/>
            </w:tcMar>
          </w:tcPr>
          <w:p>
            <w:r>
              <w:rPr>
                <w:rFonts w:ascii="Calibri" w:cs="Calibri" w:eastAsia="Calibri" w:hAnsi="Calibri"/>
                <w:b/>
                <w:bCs/>
                <w:color w:val="0058A6"/>
                <w:sz w:val="21"/>
                <w:szCs w:val="21"/>
              </w:rPr>
              <w:t xml:space="preserve">Adi Maulana</w:t>
            </w:r>
          </w:p>
        </w:tc>
        <w:tc>
          <w:tcPr>
            <w:shd w:fill="FFFFFF" w:val="clear"/>
            <w:tcMar>
              <w:top w:type="dxa" w:w="100"/>
              <w:left w:type="dxa" w:w="200"/>
              <w:bottom w:type="dxa" w:w="100"/>
              <w:right w:type="dxa" w:w="200"/>
            </w:tcMar>
          </w:tcPr>
          <w:p>
            <w:r>
              <w:rPr>
                <w:rFonts w:ascii="Calibri" w:cs="Calibri" w:eastAsia="Calibri" w:hAnsi="Calibri"/>
                <w:color w:val="1A1A2E"/>
                <w:sz w:val="21"/>
                <w:szCs w:val="21"/>
              </w:rPr>
              <w:t xml:space="preserve">Dosen Universitas Sumatera Utara (Prodi Informatika) &amp; Core Team Google Developer Group (GDG) Medan. Pakar penerapan AI dan teknologi terapan dalam konteks layanan kesehatan.</w:t>
            </w:r>
          </w:p>
        </w:tc>
      </w:tr>
    </w:tbl>
    <w:p>
      <w:pPr>
        <w:spacing w:after="60" w:before="60" w:line="276" w:lineRule="auto"/>
      </w:pPr>
    </w:p>
    <w:p>
      <w:pPr>
        <w:pStyle w:val="Heading2"/>
        <w:pBdr>
          <w:bottom w:val="single" w:color="0058A6" w:sz="8"/>
        </w:pBdr>
        <w:spacing w:after="120" w:before="280" w:line="276" w:lineRule="auto"/>
      </w:pPr>
      <w:r>
        <w:rPr>
          <w:rFonts w:ascii="Calibri" w:cs="Calibri" w:eastAsia="Calibri" w:hAnsi="Calibri"/>
          <w:b/>
          <w:bCs/>
          <w:color w:val="0058A6"/>
          <w:sz w:val="26"/>
          <w:szCs w:val="26"/>
        </w:rPr>
        <w:t xml:space="preserve">8.3  Kanal Komunikasi Resmi</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Instagram: @healthkathon.bpjskesehatan</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WhatsApp Group: Bergabung melalui tautan yang dibagikan oleh panitia</w:t>
      </w:r>
    </w:p>
    <w:p>
      <w:pPr>
        <w:pStyle w:val="ListParagraph"/>
        <w:numPr>
          <w:ilvl w:val="0"/>
          <w:numId w:val="1"/>
        </w:numPr>
        <w:spacing w:after="60" w:before="60" w:line="276" w:lineRule="auto"/>
        <w:ind w:left="576" w:hanging="288"/>
      </w:pPr>
      <w:r>
        <w:rPr>
          <w:rFonts w:ascii="Calibri" w:cs="Calibri" w:eastAsia="Calibri" w:hAnsi="Calibri"/>
          <w:color w:val="1A1A2E"/>
          <w:sz w:val="22"/>
          <w:szCs w:val="22"/>
        </w:rPr>
        <w:t xml:space="preserve">LinkedIn: Dr. Hafiz Al-Hadi Lukman | Adi Maulana (untuk konsultasi langsung)</w:t>
      </w:r>
    </w:p>
    <w:p>
      <w:pPr>
        <w:spacing w:after="60" w:before="60" w:line="276" w:lineRule="auto"/>
      </w:pPr>
    </w:p>
    <w:p>
      <w:pPr>
        <w:pBdr>
          <w:bottom w:val="single" w:color="CBD5E0" w:sz="4"/>
        </w:pBdr>
        <w:spacing w:after="80" w:before="80" w:line="276" w:lineRule="auto"/>
      </w:pPr>
    </w:p>
    <w:p>
      <w:pPr>
        <w:spacing w:after="60" w:before="60" w:line="276" w:lineRule="auto"/>
      </w:pPr>
    </w:p>
    <w:p>
      <w:pPr>
        <w:shd w:fill="E8F0FB" w:val="clear"/>
        <w:spacing w:after="120" w:before="240" w:line="276" w:lineRule="auto"/>
        <w:ind w:left="240" w:right="240"/>
        <w:jc w:val="center"/>
      </w:pPr>
      <w:r>
        <w:rPr>
          <w:rFonts w:ascii="Calibri" w:cs="Calibri" w:eastAsia="Calibri" w:hAnsi="Calibri"/>
          <w:b w:val="false"/>
          <w:bCs w:val="false"/>
          <w:i/>
          <w:iCs/>
          <w:color w:val="0058A6"/>
          <w:sz w:val="22"/>
          <w:szCs w:val="22"/>
        </w:rPr>
        <w:t xml:space="preserve">"Inovasi terbaik bukan sekadar teknologi yang paling canggih, melainkan solusi yang paling bermakna dan berdampak bagi masyarakat Indonesia."</w:t>
      </w:r>
    </w:p>
    <w:p>
      <w:pPr>
        <w:spacing w:after="320" w:before="80" w:line="276" w:lineRule="auto"/>
        <w:jc w:val="center"/>
      </w:pPr>
      <w:r>
        <w:rPr>
          <w:rFonts w:ascii="Calibri" w:cs="Calibri" w:eastAsia="Calibri" w:hAnsi="Calibri"/>
          <w:i/>
          <w:iCs/>
          <w:color w:val="5A5A72"/>
          <w:sz w:val="20"/>
          <w:szCs w:val="20"/>
        </w:rPr>
        <w:t xml:space="preserve">— Dr. Hafiz Al-Hadi Lukman, Ketua Umum AHI</w:t>
      </w:r>
    </w:p>
    <w:p>
      <w:pPr>
        <w:spacing w:after="80" w:before="80" w:line="276" w:lineRule="auto"/>
        <w:jc w:val="center"/>
      </w:pPr>
      <w:r>
        <w:rPr>
          <w:rFonts w:ascii="Calibri" w:cs="Calibri" w:eastAsia="Calibri" w:hAnsi="Calibri"/>
          <w:b/>
          <w:bCs/>
          <w:color w:val="0058A6"/>
          <w:sz w:val="24"/>
          <w:szCs w:val="24"/>
        </w:rPr>
        <w:t xml:space="preserve">Selamat berinovasi untuk Indonesia yang lebih sehat!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pBdr>
      <w:spacing w:after="0" w:before="80" w:line="276" w:lineRule="auto"/>
      <w:jc w:val="center"/>
    </w:pPr>
    <w:r>
      <w:rPr>
        <w:rFonts w:ascii="Calibri" w:cs="Calibri" w:eastAsia="Calibri" w:hAnsi="Calibri"/>
        <w:color w:val="5A5A72"/>
        <w:sz w:val="18"/>
        <w:szCs w:val="18"/>
      </w:rPr>
      <w:t xml:space="preserve">© 2026 BPJS Kesehatan — Asosiasi Health Tech Indonesia  |  Halaman </w:t>
    </w:r>
    <w:r>
      <w:rPr>
        <w:rFonts w:ascii="Calibri" w:cs="Calibri" w:eastAsia="Calibri" w:hAnsi="Calibri"/>
        <w:color w:val="5A5A72"/>
        <w:sz w:val="18"/>
        <w:szCs w:val="18"/>
      </w:rPr>
      <w:fldChar w:fldCharType="begin"/>
      <w:instrText xml:space="preserve">PAGE</w:instrText>
      <w:fldChar w:fldCharType="separate"/>
      <w:fldChar w:fldCharType="end"/>
    </w:r>
    <w:r>
      <w:rPr>
        <w:rFonts w:ascii="Calibri" w:cs="Calibri" w:eastAsia="Calibri" w:hAnsi="Calibri"/>
        <w:color w:val="5A5A72"/>
        <w:sz w:val="18"/>
        <w:szCs w:val="18"/>
      </w:rPr>
      <w:t xml:space="preserve"> dari </w:t>
    </w:r>
    <w:r>
      <w:rPr>
        <w:rFonts w:ascii="Calibri" w:cs="Calibri" w:eastAsia="Calibri" w:hAnsi="Calibri"/>
        <w:color w:val="5A5A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pBdr>
      <w:spacing w:after="80" w:before="0" w:line="276" w:lineRule="auto"/>
      <w:jc w:val="right"/>
    </w:pPr>
    <w:r>
      <w:rPr>
        <w:rFonts w:ascii="Calibri" w:cs="Calibri" w:eastAsia="Calibri" w:hAnsi="Calibri"/>
        <w:i/>
        <w:iCs/>
        <w:color w:val="5A5A72"/>
        <w:sz w:val="18"/>
        <w:szCs w:val="18"/>
      </w:rPr>
      <w:t xml:space="preserve">Healthkathon 2026 — Pedoman Kompetisi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2026-08-30T12:56:01.271Z</dcterms:created>
  <dcterms:modified xsi:type="dcterms:W3CDTF">2026-08-30T12:56:01.284Z</dcterms:modified>
</cp:coreProperties>
</file>

<file path=docProps/custom.xml><?xml version="1.0" encoding="utf-8"?>
<Properties xmlns="http://schemas.openxmlformats.org/officeDocument/2006/custom-properties" xmlns:vt="http://schemas.openxmlformats.org/officeDocument/2006/docPropsVTypes"/>
</file>