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eastAsia="Calibri"/>
          <w:b/>
          <w:color w:val="0B2545"/>
          <w:sz w:val="46"/>
        </w:rPr>
        <w:t>HEALTHKATHON 2026 — WINNING MASTER PLAN</w:t>
      </w:r>
    </w:p>
    <w:p>
      <w:pPr>
        <w:spacing w:after="160"/>
      </w:pPr>
      <w:r>
        <w:rPr>
          <w:rFonts w:ascii="Calibri" w:hAnsi="Calibri" w:eastAsia="Calibri"/>
          <w:i/>
          <w:color w:val="5D6B78"/>
          <w:sz w:val="23"/>
        </w:rPr>
        <w:t>Competition strategy · product plan · technical program · proposal execution</w:t>
      </w:r>
    </w:p>
    <w:p>
      <w:pPr>
        <w:spacing w:before="0" w:after="140"/>
        <w:pBdr>
          <w:bottom w:val="single" w:sz="12" w:space="1" w:color="2E74B5"/>
        </w:pBdr>
      </w:pPr>
    </w:p>
    <w:p>
      <w:pPr>
        <w:spacing w:before="0" w:after="30" w:line="240" w:lineRule="auto"/>
      </w:pPr>
      <w:r>
        <w:rPr>
          <w:rFonts w:ascii="Calibri" w:hAnsi="Calibri" w:eastAsia="Calibri"/>
          <w:b/>
          <w:color w:val="5D6B78"/>
          <w:sz w:val="18"/>
        </w:rPr>
        <w:t>Decision date:</w:t>
      </w:r>
      <w:r>
        <w:rPr>
          <w:rFonts w:ascii="Calibri" w:hAnsi="Calibri" w:eastAsia="Calibri"/>
          <w:b w:val="0"/>
          <w:color w:val="5D6B78"/>
          <w:sz w:val="18"/>
        </w:rPr>
        <w:t xml:space="preserve"> 29 August 2026</w:t>
      </w:r>
    </w:p>
    <w:p>
      <w:pPr>
        <w:spacing w:before="0" w:after="30" w:line="240" w:lineRule="auto"/>
      </w:pPr>
      <w:r>
        <w:rPr>
          <w:rFonts w:ascii="Calibri" w:hAnsi="Calibri" w:eastAsia="Calibri"/>
          <w:b/>
          <w:color w:val="5D6B78"/>
          <w:sz w:val="18"/>
        </w:rPr>
        <w:t>Working product name:</w:t>
      </w:r>
      <w:r>
        <w:rPr>
          <w:rFonts w:ascii="Calibri" w:hAnsi="Calibri" w:eastAsia="Calibri"/>
          <w:b w:val="0"/>
          <w:color w:val="5D6B78"/>
          <w:sz w:val="18"/>
        </w:rPr>
        <w:t xml:space="preserve"> </w:t>
      </w:r>
      <w:r>
        <w:rPr>
          <w:rFonts w:ascii="Calibri" w:hAnsi="Calibri" w:eastAsia="Calibri"/>
          <w:b/>
          <w:color w:val="5D6B78"/>
          <w:sz w:val="18"/>
        </w:rPr>
        <w:t>TilikKlaim</w:t>
      </w:r>
    </w:p>
    <w:p>
      <w:pPr>
        <w:spacing w:before="0" w:after="30" w:line="240" w:lineRule="auto"/>
      </w:pPr>
      <w:r>
        <w:rPr>
          <w:rFonts w:ascii="Calibri" w:hAnsi="Calibri" w:eastAsia="Calibri"/>
          <w:b/>
          <w:color w:val="5D6B78"/>
          <w:sz w:val="18"/>
        </w:rPr>
        <w:t>Recommended proposal title:</w:t>
      </w:r>
      <w:r>
        <w:rPr>
          <w:rFonts w:ascii="Calibri" w:hAnsi="Calibri" w:eastAsia="Calibri"/>
          <w:b w:val="0"/>
          <w:color w:val="5D6B78"/>
          <w:sz w:val="18"/>
        </w:rPr>
        <w:t xml:space="preserve"> </w:t>
      </w:r>
      <w:r>
        <w:rPr>
          <w:rFonts w:ascii="Calibri" w:hAnsi="Calibri" w:eastAsia="Calibri"/>
          <w:b/>
          <w:color w:val="5D6B78"/>
          <w:sz w:val="18"/>
        </w:rPr>
        <w:t>TilikKlaim: Lapisan Integritas Bukti Berbasis SATUSEHAT untuk Deteksi Dini Risiko Klaim JKN</w:t>
      </w:r>
    </w:p>
    <w:p>
      <w:pPr>
        <w:spacing w:before="0" w:after="30" w:line="240" w:lineRule="auto"/>
      </w:pPr>
      <w:r>
        <w:rPr>
          <w:rFonts w:ascii="Calibri" w:hAnsi="Calibri" w:eastAsia="Calibri"/>
          <w:b/>
          <w:color w:val="5D6B78"/>
          <w:sz w:val="18"/>
        </w:rPr>
        <w:t>Tagline:</w:t>
      </w:r>
      <w:r>
        <w:rPr>
          <w:rFonts w:ascii="Calibri" w:hAnsi="Calibri" w:eastAsia="Calibri"/>
          <w:b w:val="0"/>
          <w:color w:val="5D6B78"/>
          <w:sz w:val="18"/>
        </w:rPr>
        <w:t xml:space="preserve"> </w:t>
      </w:r>
      <w:r>
        <w:rPr>
          <w:rFonts w:ascii="Calibri" w:hAnsi="Calibri" w:eastAsia="Calibri"/>
          <w:b/>
          <w:color w:val="5D6B78"/>
          <w:sz w:val="18"/>
        </w:rPr>
        <w:t>Setiap klaim, bukti dan risikonya dapat ditelusuri.</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color w:val="0B2545"/>
                <w:sz w:val="18"/>
              </w:rPr>
              <w:t>Evidence labels used throughout</w:t>
            </w:r>
          </w:p>
          <w:p>
            <w:pPr>
              <w:spacing w:before="0" w:after="60" w:line="276" w:lineRule="auto"/>
            </w:pPr>
            <w:r>
              <w:rPr>
                <w:rFonts w:ascii="Calibri" w:hAnsi="Calibri" w:eastAsia="Calibri"/>
                <w:b/>
                <w:color w:val="0B2545"/>
                <w:sz w:val="18"/>
              </w:rPr>
              <w:t>OFFICIAL PDF</w:t>
            </w:r>
            <w:r>
              <w:rPr>
                <w:rFonts w:ascii="Calibri" w:hAnsi="Calibri" w:eastAsia="Calibri"/>
                <w:b w:val="0"/>
                <w:color w:val="0B2545"/>
                <w:sz w:val="18"/>
              </w:rPr>
              <w:t xml:space="preserve"> = the two supplied Healthkathon 2026 documents and is binding for this plan.</w:t>
            </w:r>
          </w:p>
          <w:p>
            <w:pPr>
              <w:spacing w:before="0" w:after="60" w:line="276" w:lineRule="auto"/>
            </w:pPr>
            <w:r>
              <w:rPr>
                <w:rFonts w:ascii="Calibri" w:hAnsi="Calibri" w:eastAsia="Calibri"/>
                <w:b/>
                <w:color w:val="0B2545"/>
                <w:sz w:val="18"/>
              </w:rPr>
              <w:t>WEBINAR SIGNAL</w:t>
            </w:r>
            <w:r>
              <w:rPr>
                <w:rFonts w:ascii="Calibri" w:hAnsi="Calibri" w:eastAsia="Calibri"/>
                <w:b w:val="0"/>
                <w:color w:val="0B2545"/>
                <w:sz w:val="18"/>
              </w:rPr>
              <w:t xml:space="preserve"> = verbal guidance supplied by the team; strategic only, not an official category or rule.</w:t>
            </w:r>
          </w:p>
          <w:p>
            <w:pPr>
              <w:spacing w:before="0" w:after="60" w:line="276" w:lineRule="auto"/>
            </w:pPr>
            <w:r>
              <w:rPr>
                <w:rFonts w:ascii="Calibri" w:hAnsi="Calibri" w:eastAsia="Calibri"/>
                <w:b/>
                <w:color w:val="0B2545"/>
                <w:sz w:val="18"/>
              </w:rPr>
              <w:t>EXTERNAL EVIDENCE</w:t>
            </w:r>
            <w:r>
              <w:rPr>
                <w:rFonts w:ascii="Calibri" w:hAnsi="Calibri" w:eastAsia="Calibri"/>
                <w:b w:val="0"/>
                <w:color w:val="0B2545"/>
                <w:sz w:val="18"/>
              </w:rPr>
              <w:t xml:space="preserve"> = cited web, regulatory, institutional, or peer-reviewed source.</w:t>
            </w:r>
          </w:p>
          <w:p>
            <w:pPr>
              <w:spacing w:before="0" w:after="60" w:line="276" w:lineRule="auto"/>
            </w:pPr>
            <w:r>
              <w:rPr>
                <w:rFonts w:ascii="Calibri" w:hAnsi="Calibri" w:eastAsia="Calibri"/>
                <w:b/>
                <w:color w:val="0B2545"/>
                <w:sz w:val="18"/>
              </w:rPr>
              <w:t>ANALYSIS</w:t>
            </w:r>
            <w:r>
              <w:rPr>
                <w:rFonts w:ascii="Calibri" w:hAnsi="Calibri" w:eastAsia="Calibri"/>
                <w:b w:val="0"/>
                <w:color w:val="0B2545"/>
                <w:sz w:val="18"/>
              </w:rPr>
              <w:t xml:space="preserve"> = our strategic or technical conclusion.</w:t>
            </w:r>
          </w:p>
          <w:p>
            <w:pPr>
              <w:spacing w:before="0" w:after="60" w:line="276" w:lineRule="auto"/>
            </w:pPr>
            <w:r>
              <w:rPr>
                <w:rFonts w:ascii="Calibri" w:hAnsi="Calibri" w:eastAsia="Calibri"/>
                <w:b/>
                <w:color w:val="0B2545"/>
                <w:sz w:val="18"/>
              </w:rPr>
              <w:t>ASSUMPTION</w:t>
            </w:r>
            <w:r>
              <w:rPr>
                <w:rFonts w:ascii="Calibri" w:hAnsi="Calibri" w:eastAsia="Calibri"/>
                <w:b w:val="0"/>
                <w:color w:val="0B2545"/>
                <w:sz w:val="18"/>
              </w:rPr>
              <w:t xml:space="preserve"> = material proposition not yet validated with BPJS, a facility, or a domain expert.</w:t>
            </w:r>
          </w:p>
        </w:tc>
      </w:tr>
    </w:tbl>
    <w:p>
      <w:pPr>
        <w:spacing w:after="0"/>
      </w:pPr>
    </w:p>
    <w:p>
      <w:pPr>
        <w:pStyle w:val="Heading1"/>
        <w:spacing w:before="120" w:after="80"/>
      </w:pPr>
      <w:r>
        <w:rPr>
          <w:rFonts w:ascii="Calibri" w:hAnsi="Calibri" w:eastAsia="Calibri"/>
          <w:b/>
          <w:sz w:val="28"/>
        </w:rPr>
        <w:t>IF THE TEAM ONLY READS 2 PAGES, READ THIS</w:t>
      </w:r>
    </w:p>
    <w:p>
      <w:pPr>
        <w:pStyle w:val="Heading2"/>
        <w:spacing w:before="80" w:after="40"/>
      </w:pPr>
      <w:r>
        <w:rPr>
          <w:rFonts w:ascii="Calibri" w:hAnsi="Calibri" w:eastAsia="Calibri"/>
          <w:b/>
          <w:sz w:val="21"/>
        </w:rPr>
        <w:t>The decision</w:t>
      </w:r>
    </w:p>
    <w:p>
      <w:pPr>
        <w:pStyle w:val="ExecutiveCompact"/>
        <w:spacing w:after="60" w:line="252" w:lineRule="auto"/>
      </w:pPr>
      <w:r>
        <w:rPr>
          <w:rFonts w:ascii="Calibri" w:hAnsi="Calibri" w:eastAsia="Calibri"/>
          <w:b w:val="0"/>
          <w:sz w:val="18"/>
        </w:rPr>
        <w:t xml:space="preserve">Build </w:t>
      </w:r>
      <w:r>
        <w:rPr>
          <w:rFonts w:ascii="Calibri" w:hAnsi="Calibri" w:eastAsia="Calibri"/>
          <w:b/>
          <w:sz w:val="18"/>
        </w:rPr>
        <w:t>TilikKlaim</w:t>
      </w:r>
      <w:r>
        <w:rPr>
          <w:rFonts w:ascii="Calibri" w:hAnsi="Calibri" w:eastAsia="Calibri"/>
          <w:b w:val="0"/>
          <w:sz w:val="18"/>
        </w:rPr>
        <w:t xml:space="preserve">, a web prototype for a hospital casemix/anti-fraud officer. It screens a </w:t>
      </w:r>
      <w:r>
        <w:rPr>
          <w:rFonts w:ascii="Calibri" w:hAnsi="Calibri" w:eastAsia="Calibri"/>
          <w:b/>
          <w:sz w:val="18"/>
        </w:rPr>
        <w:t>synthetic, SATUSEHAT-shaped JKN claim bundle before submission</w:t>
      </w:r>
      <w:r>
        <w:rPr>
          <w:rFonts w:ascii="Calibri" w:hAnsi="Calibri" w:eastAsia="Calibri"/>
          <w:b w:val="0"/>
          <w:sz w:val="18"/>
        </w:rPr>
        <w:t>, links billed items to clinical evidence, and flags four official facility-risk patterns:</w:t>
      </w:r>
    </w:p>
    <w:p>
      <w:pPr>
        <w:pStyle w:val="ExecutiveCompact"/>
        <w:keepLines/>
        <w:spacing w:after="40" w:line="252" w:lineRule="auto"/>
        <w:numPr>
          <w:ilvl w:val="0"/>
          <w:numId w:val="10"/>
        </w:numPr>
      </w:pPr>
      <w:r>
        <w:rPr>
          <w:rFonts w:ascii="Calibri" w:hAnsi="Calibri" w:eastAsia="Calibri"/>
          <w:b/>
          <w:sz w:val="17"/>
        </w:rPr>
        <w:t>phantom billing / billing for a procedure not performed</w:t>
      </w:r>
      <w:r>
        <w:rPr>
          <w:rFonts w:ascii="Calibri" w:hAnsi="Calibri" w:eastAsia="Calibri"/>
          <w:b w:val="0"/>
          <w:sz w:val="17"/>
        </w:rPr>
        <w:t xml:space="preserve"> — a billed item lacks a corresponding completed clinical event;</w:t>
      </w:r>
    </w:p>
    <w:p>
      <w:pPr>
        <w:pStyle w:val="ExecutiveCompact"/>
        <w:keepLines/>
        <w:spacing w:after="40" w:line="252" w:lineRule="auto"/>
        <w:numPr>
          <w:ilvl w:val="0"/>
          <w:numId w:val="10"/>
        </w:numPr>
      </w:pPr>
      <w:r>
        <w:rPr>
          <w:rFonts w:ascii="Calibri" w:hAnsi="Calibri" w:eastAsia="Calibri"/>
          <w:b/>
          <w:sz w:val="17"/>
        </w:rPr>
        <w:t>repeat billing</w:t>
      </w:r>
      <w:r>
        <w:rPr>
          <w:rFonts w:ascii="Calibri" w:hAnsi="Calibri" w:eastAsia="Calibri"/>
          <w:b w:val="0"/>
          <w:sz w:val="17"/>
        </w:rPr>
        <w:t xml:space="preserve"> — the same or materially overlapping episode appears more than once;</w:t>
      </w:r>
    </w:p>
    <w:p>
      <w:pPr>
        <w:pStyle w:val="ExecutiveCompact"/>
        <w:keepLines/>
        <w:spacing w:after="40" w:line="252" w:lineRule="auto"/>
        <w:numPr>
          <w:ilvl w:val="0"/>
          <w:numId w:val="10"/>
        </w:numPr>
      </w:pPr>
      <w:r>
        <w:rPr>
          <w:rFonts w:ascii="Calibri" w:hAnsi="Calibri" w:eastAsia="Calibri"/>
          <w:b/>
          <w:sz w:val="17"/>
        </w:rPr>
        <w:t>cloning</w:t>
      </w:r>
      <w:r>
        <w:rPr>
          <w:rFonts w:ascii="Calibri" w:hAnsi="Calibri" w:eastAsia="Calibri"/>
          <w:b w:val="0"/>
          <w:sz w:val="17"/>
        </w:rPr>
        <w:t xml:space="preserve"> — unusually similar clinical documentation or service sequences appear across different encounters;</w:t>
      </w:r>
    </w:p>
    <w:p>
      <w:pPr>
        <w:pStyle w:val="ExecutiveCompact"/>
        <w:keepLines/>
        <w:spacing w:after="40" w:line="252" w:lineRule="auto"/>
        <w:numPr>
          <w:ilvl w:val="0"/>
          <w:numId w:val="10"/>
        </w:numPr>
      </w:pPr>
      <w:r>
        <w:rPr>
          <w:rFonts w:ascii="Calibri" w:hAnsi="Calibri" w:eastAsia="Calibri"/>
          <w:b/>
          <w:sz w:val="17"/>
        </w:rPr>
        <w:t>unbundling / fragmentation</w:t>
      </w:r>
      <w:r>
        <w:rPr>
          <w:rFonts w:ascii="Calibri" w:hAnsi="Calibri" w:eastAsia="Calibri"/>
          <w:b w:val="0"/>
          <w:sz w:val="17"/>
        </w:rPr>
        <w:t xml:space="preserve"> — one episode appears split into multiple claims or billable events.</w:t>
      </w:r>
    </w:p>
    <w:p>
      <w:pPr>
        <w:pStyle w:val="ExecutiveCompact"/>
        <w:spacing w:after="60" w:line="252" w:lineRule="auto"/>
      </w:pPr>
      <w:r>
        <w:rPr>
          <w:rFonts w:ascii="Calibri" w:hAnsi="Calibri" w:eastAsia="Calibri"/>
          <w:b w:val="0"/>
          <w:sz w:val="18"/>
        </w:rPr>
        <w:t xml:space="preserve">It never declares fraud. It reports </w:t>
      </w:r>
      <w:r>
        <w:rPr>
          <w:rFonts w:ascii="Calibri" w:hAnsi="Calibri" w:eastAsia="Calibri"/>
          <w:b/>
          <w:sz w:val="18"/>
        </w:rPr>
        <w:t>“risk or anomaly requiring review,”</w:t>
      </w:r>
      <w:r>
        <w:rPr>
          <w:rFonts w:ascii="Calibri" w:hAnsi="Calibri" w:eastAsia="Calibri"/>
          <w:b w:val="0"/>
          <w:sz w:val="18"/>
        </w:rPr>
        <w:t xml:space="preserve"> shows evidence and uncertainty, and requires a logged human disposition.</w:t>
      </w:r>
    </w:p>
    <w:p>
      <w:pPr>
        <w:pStyle w:val="Heading2"/>
        <w:spacing w:before="80" w:after="40"/>
      </w:pPr>
      <w:r>
        <w:rPr>
          <w:rFonts w:ascii="Calibri" w:hAnsi="Calibri" w:eastAsia="Calibri"/>
          <w:b/>
          <w:sz w:val="21"/>
        </w:rPr>
        <w:t>Why this can win</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Winning condition</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Why TilikKlaim fits</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Official relevance</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 xml:space="preserve">One category: </w:t>
            </w:r>
            <w:r>
              <w:rPr>
                <w:rFonts w:ascii="Calibri" w:hAnsi="Calibri" w:eastAsia="Calibri"/>
                <w:b/>
                <w:color w:val="0B2545"/>
                <w:sz w:val="14"/>
              </w:rPr>
              <w:t>Efisiensi Risiko pada Fasilitas Kesehatan</w:t>
            </w:r>
            <w:r>
              <w:rPr>
                <w:rFonts w:ascii="Calibri" w:hAnsi="Calibri" w:eastAsia="Calibri"/>
                <w:b w:val="0"/>
                <w:color w:val="0B2545"/>
                <w:sz w:val="14"/>
              </w:rPr>
              <w:t>; four named modes. [PDF-PG pp. 6–7]</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Why now</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 30 July 2026 joint circular pushed SATUSEHAT-integrated RME as electronic support for JKN claims and traceable oversight. [E01]</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Demonstrability</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One bundle travels ingest → evidence → detection → human review → audit in under 90 seconds.</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Data feasibility</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Synthea FHIR + controlled adapter + injected labels; no unauthorized JKN participant data. [E11]</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Appropriate AI</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Rules for evidence; similarity/anomaly for prioritization; no LLM in the risk decision.</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Differentiation</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 versioned evidence graph with provenance, counter-evidence, human disposition, and reproducible offline proof—not a chat/copilot.</w:t>
            </w:r>
          </w:p>
        </w:tc>
      </w:tr>
    </w:tbl>
    <w:p>
      <w:pPr>
        <w:spacing w:before="0" w:after="40"/>
      </w:pPr>
    </w:p>
    <w:p>
      <w:pPr>
        <w:pStyle w:val="ExecutiveCompact"/>
        <w:spacing w:after="60" w:line="252" w:lineRule="auto"/>
      </w:pPr>
      <w:r>
        <w:rPr>
          <w:rFonts w:ascii="Calibri" w:hAnsi="Calibri" w:eastAsia="Calibri"/>
          <w:b/>
          <w:sz w:val="18"/>
        </w:rPr>
        <w:t>Proof target:</w:t>
      </w:r>
      <w:r>
        <w:rPr>
          <w:rFonts w:ascii="Calibri" w:hAnsi="Calibri" w:eastAsia="Calibri"/>
          <w:b w:val="0"/>
          <w:sz w:val="18"/>
        </w:rPr>
        <w:t xml:space="preserve"> published fields support at least three modes; the hybrid earns its place against rules-only on held-out injected cases; one screen enables a disposition. Never claim national accuracy, savings, wrongdoing, or production readiness.</w:t>
      </w:r>
    </w:p>
    <w:p>
      <w:pPr>
        <w:pStyle w:val="Heading2"/>
        <w:spacing w:before="80" w:after="40"/>
      </w:pPr>
      <w:r>
        <w:rPr>
          <w:rFonts w:ascii="Calibri" w:hAnsi="Calibri" w:eastAsia="Calibri"/>
          <w:b/>
          <w:sz w:val="21"/>
        </w:rPr>
        <w:t>Ownership</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Member</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Decision ownership</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Deliverables this week</w:t>
            </w:r>
          </w:p>
        </w:tc>
      </w:tr>
      <w:tr>
        <w:trPr>
          <w:cantSplit/>
        </w:trPr>
        <w:tc>
          <w:tcPr>
            <w:tcW w:type="dxa" w:w="2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 — Technical &amp; AI</w:t>
            </w:r>
          </w:p>
        </w:tc>
        <w:tc>
          <w:tcPr>
            <w:tcW w:type="dxa" w:w="343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Architecture, engine, APIs, evaluation</w:t>
            </w:r>
          </w:p>
        </w:tc>
        <w:tc>
          <w:tcPr>
            <w:tcW w:type="dxa" w:w="343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Schema spike; synthetic adapter; three detectors; API; baseline</w:t>
            </w:r>
          </w:p>
        </w:tc>
      </w:tr>
      <w:tr>
        <w:trPr>
          <w:cantSplit/>
        </w:trPr>
        <w:tc>
          <w:tcPr>
            <w:tcW w:type="dxa" w:w="2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2 — Product, UX &amp; Data</w:t>
            </w:r>
          </w:p>
        </w:tc>
        <w:tc>
          <w:tcPr>
            <w:tcW w:type="dxa" w:w="343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Workflow, UI, data catalog</w:t>
            </w:r>
          </w:p>
        </w:tc>
        <w:tc>
          <w:tcPr>
            <w:tcW w:type="dxa" w:w="343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Codebook; five cases; Figma; React review flow; QA</w:t>
            </w:r>
          </w:p>
        </w:tc>
      </w:tr>
      <w:tr>
        <w:trPr>
          <w:cantSplit/>
        </w:trPr>
        <w:tc>
          <w:tcPr>
            <w:tcW w:type="dxa" w:w="2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3 — Research, Proposal &amp; PM</w:t>
            </w:r>
          </w:p>
        </w:tc>
        <w:tc>
          <w:tcPr>
            <w:tcW w:type="dxa" w:w="343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Rules, evidence, governance, gates, deck</w:t>
            </w:r>
          </w:p>
        </w:tc>
        <w:tc>
          <w:tcPr>
            <w:tcW w:type="dxa" w:w="343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Brief; sources; assumptions; proposal skeleton; gate tracking</w:t>
            </w:r>
          </w:p>
        </w:tc>
      </w:tr>
    </w:tbl>
    <w:p>
      <w:pPr>
        <w:spacing w:before="0" w:after="40"/>
      </w:pPr>
    </w:p>
    <w:p>
      <w:pPr>
        <w:pStyle w:val="ExecutiveCompact"/>
        <w:spacing w:after="60" w:line="252" w:lineRule="auto"/>
      </w:pPr>
      <w:r>
        <w:rPr>
          <w:rFonts w:ascii="Calibri" w:hAnsi="Calibri" w:eastAsia="Calibri"/>
          <w:b w:val="0"/>
          <w:sz w:val="18"/>
        </w:rPr>
        <w:t>Member 1 publishes fixtures/API examples early so Members 2 and 3 work in parallel.</w:t>
      </w:r>
    </w:p>
    <w:p>
      <w:pPr>
        <w:pStyle w:val="Heading2"/>
        <w:spacing w:before="80" w:after="40"/>
      </w:pPr>
      <w:r>
        <w:rPr>
          <w:rFonts w:ascii="Calibri" w:hAnsi="Calibri" w:eastAsia="Calibri"/>
          <w:b/>
          <w:sz w:val="21"/>
        </w:rPr>
        <w:t>What must happen by 5 September</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Date</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Non-negotiable outcome</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29 Aug</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Register; freeze rules; open decision/evidence/assumption/risk logs.</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30–31 Aug</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Freeze four modes; map each to published fields and an observable test.</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1–2 Sep</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Generate ≥1,000 synthetic claims/≥200 injections; prove three end-to-end cases.</w:t>
            </w:r>
          </w:p>
        </w:tc>
      </w:tr>
      <w:tr>
        <w:trPr>
          <w:cantSplit/>
        </w:trPr>
        <w:tc>
          <w:tcPr>
            <w:tcW w:type="dxa" w:w="2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3–5 Sep</w:t>
            </w:r>
          </w:p>
        </w:tc>
        <w:tc>
          <w:tcPr>
            <w:tcW w:type="dxa" w:w="66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Return versioned reasons/evidence; measure rules-only baseline.</w:t>
            </w:r>
          </w:p>
        </w:tc>
      </w:tr>
    </w:tbl>
    <w:p>
      <w:pPr>
        <w:spacing w:before="0" w:after="40"/>
      </w:pPr>
    </w:p>
    <w:p>
      <w:pPr>
        <w:pStyle w:val="Heading2"/>
        <w:spacing w:before="80" w:after="40"/>
      </w:pPr>
      <w:r>
        <w:rPr>
          <w:rFonts w:ascii="Calibri" w:hAnsi="Calibri" w:eastAsia="Calibri"/>
          <w:b/>
          <w:sz w:val="21"/>
        </w:rPr>
        <w:t>Biggest risks and immediate controls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3900"/>
        <w:gridCol w:w="5460"/>
      </w:tblGrid>
      <w:tr>
        <w:trPr>
          <w:tblHeader w:val="true"/>
        </w:trPr>
        <w:tc>
          <w:tcPr>
            <w:tcW w:type="dxa" w:w="39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Risk</w:t>
            </w:r>
          </w:p>
        </w:tc>
        <w:tc>
          <w:tcPr>
            <w:tcW w:type="dxa" w:w="54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Control now</w:t>
            </w:r>
          </w:p>
        </w:tc>
      </w:tr>
      <w:tr>
        <w:trPr>
          <w:cantSplit/>
        </w:trPr>
        <w:tc>
          <w:tcPr>
            <w:tcW w:type="dxa" w:w="39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2025 PRO-CLAIM overlap [E13]</w:t>
            </w:r>
          </w:p>
        </w:tc>
        <w:tc>
          <w:tcPr>
            <w:tcW w:type="dxa" w:w="54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Differentiate evidence graph/non-generative core; ask organizer.</w:t>
            </w:r>
          </w:p>
        </w:tc>
      </w:tr>
      <w:tr>
        <w:trPr>
          <w:cantSplit/>
        </w:trPr>
        <w:tc>
          <w:tcPr>
            <w:tcW w:type="dxa" w:w="39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Fields cannot support modes</w:t>
            </w:r>
          </w:p>
        </w:tc>
        <w:tc>
          <w:tcPr>
            <w:tcW w:type="dxa" w:w="54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Complete schema spike by 2 Sep; narrow or trigger backup.</w:t>
            </w:r>
          </w:p>
        </w:tc>
      </w:tr>
      <w:tr>
        <w:trPr>
          <w:cantSplit/>
        </w:trPr>
        <w:tc>
          <w:tcPr>
            <w:tcW w:type="dxa" w:w="39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Inflated synthetic results</w:t>
            </w:r>
          </w:p>
        </w:tc>
        <w:tc>
          <w:tcPr>
            <w:tcW w:type="dxa" w:w="54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Grouped split; no injector fields; baseline; synthetic label.</w:t>
            </w:r>
          </w:p>
        </w:tc>
      </w:tr>
      <w:tr>
        <w:trPr>
          <w:cantSplit/>
        </w:trPr>
        <w:tc>
          <w:tcPr>
            <w:tcW w:type="dxa" w:w="39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Invented clinical rules</w:t>
            </w:r>
          </w:p>
        </w:tc>
        <w:tc>
          <w:tcPr>
            <w:tcW w:type="dxa" w:w="54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Structural evidence only; medical necessity out of scope.</w:t>
            </w:r>
          </w:p>
        </w:tc>
      </w:tr>
      <w:tr>
        <w:trPr>
          <w:cantSplit/>
        </w:trPr>
        <w:tc>
          <w:tcPr>
            <w:tcW w:type="dxa" w:w="39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Feature/privacy harm</w:t>
            </w:r>
          </w:p>
        </w:tc>
        <w:tc>
          <w:tcPr>
            <w:tcW w:type="dxa" w:w="54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Evidence-yield rule; pseudonyms; human decision; audit.</w:t>
            </w:r>
          </w:p>
        </w:tc>
      </w:tr>
    </w:tbl>
    <w:p>
      <w:pPr>
        <w:spacing w:before="0" w:after="40"/>
      </w:pPr>
    </w:p>
    <w:p>
      <w:pPr>
        <w:pStyle w:val="Heading2"/>
        <w:spacing w:before="80" w:after="40"/>
      </w:pPr>
      <w:r>
        <w:rPr>
          <w:rFonts w:ascii="Calibri" w:hAnsi="Calibri" w:eastAsia="Calibri"/>
          <w:b/>
          <w:sz w:val="21"/>
        </w:rPr>
        <w:t>Immediate next actions — in order</w:t>
      </w:r>
    </w:p>
    <w:p>
      <w:pPr>
        <w:pStyle w:val="ExecutiveCompact"/>
        <w:keepLines/>
        <w:spacing w:after="40" w:line="252" w:lineRule="auto"/>
        <w:numPr>
          <w:ilvl w:val="0"/>
          <w:numId w:val="11"/>
        </w:numPr>
      </w:pPr>
      <w:r>
        <w:rPr>
          <w:rFonts w:ascii="Calibri" w:hAnsi="Calibri" w:eastAsia="Calibri"/>
          <w:b/>
          <w:sz w:val="17"/>
        </w:rPr>
        <w:t>M3:</w:t>
      </w:r>
      <w:r>
        <w:rPr>
          <w:rFonts w:ascii="Calibri" w:hAnsi="Calibri" w:eastAsia="Calibri"/>
          <w:b w:val="0"/>
          <w:sz w:val="17"/>
        </w:rPr>
        <w:t xml:space="preserve"> register now; confirm portal and closing hour. [PDF-PG p. 8]</w:t>
      </w:r>
    </w:p>
    <w:p>
      <w:pPr>
        <w:pStyle w:val="ExecutiveCompact"/>
        <w:keepLines/>
        <w:spacing w:after="40" w:line="252" w:lineRule="auto"/>
        <w:numPr>
          <w:ilvl w:val="0"/>
          <w:numId w:val="11"/>
        </w:numPr>
      </w:pPr>
      <w:r>
        <w:rPr>
          <w:rFonts w:ascii="Calibri" w:hAnsi="Calibri" w:eastAsia="Calibri"/>
          <w:b/>
          <w:sz w:val="17"/>
        </w:rPr>
        <w:t>M1:</w:t>
      </w:r>
      <w:r>
        <w:rPr>
          <w:rFonts w:ascii="Calibri" w:hAnsi="Calibri" w:eastAsia="Calibri"/>
          <w:b w:val="0"/>
          <w:sz w:val="17"/>
        </w:rPr>
        <w:t xml:space="preserve"> parse one bundle and output Claim → billing → encounter → clinical evidence links.</w:t>
      </w:r>
    </w:p>
    <w:p>
      <w:pPr>
        <w:pStyle w:val="ExecutiveCompact"/>
        <w:keepLines/>
        <w:spacing w:after="40" w:line="252" w:lineRule="auto"/>
        <w:numPr>
          <w:ilvl w:val="0"/>
          <w:numId w:val="11"/>
        </w:numPr>
      </w:pPr>
      <w:r>
        <w:rPr>
          <w:rFonts w:ascii="Calibri" w:hAnsi="Calibri" w:eastAsia="Calibri"/>
          <w:b/>
          <w:sz w:val="17"/>
        </w:rPr>
        <w:t>M2:</w:t>
      </w:r>
      <w:r>
        <w:rPr>
          <w:rFonts w:ascii="Calibri" w:hAnsi="Calibri" w:eastAsia="Calibri"/>
          <w:b w:val="0"/>
          <w:sz w:val="17"/>
        </w:rPr>
        <w:t xml:space="preserve"> design clean, phantom, repeat, clone, and unbundled gold fixtures.</w:t>
      </w:r>
    </w:p>
    <w:p>
      <w:pPr>
        <w:pStyle w:val="ExecutiveCompact"/>
        <w:keepLines/>
        <w:spacing w:after="40" w:line="252" w:lineRule="auto"/>
        <w:numPr>
          <w:ilvl w:val="0"/>
          <w:numId w:val="11"/>
        </w:numPr>
      </w:pPr>
      <w:r>
        <w:rPr>
          <w:rFonts w:ascii="Calibri" w:hAnsi="Calibri" w:eastAsia="Calibri"/>
          <w:b/>
          <w:sz w:val="17"/>
        </w:rPr>
        <w:t>All:</w:t>
      </w:r>
      <w:r>
        <w:rPr>
          <w:rFonts w:ascii="Calibri" w:hAnsi="Calibri" w:eastAsia="Calibri"/>
          <w:b w:val="0"/>
          <w:sz w:val="17"/>
        </w:rPr>
        <w:t xml:space="preserve"> freeze the idea on 31 August; one-in/one-out after freeze.</w:t>
      </w:r>
    </w:p>
    <w:p>
      <w:pPr>
        <w:pStyle w:val="ExecutiveCompact"/>
        <w:keepLines/>
        <w:spacing w:after="40" w:line="252" w:lineRule="auto"/>
        <w:numPr>
          <w:ilvl w:val="0"/>
          <w:numId w:val="11"/>
        </w:numPr>
      </w:pPr>
      <w:r>
        <w:rPr>
          <w:rFonts w:ascii="Calibri" w:hAnsi="Calibri" w:eastAsia="Calibri"/>
          <w:b/>
          <w:sz w:val="17"/>
        </w:rPr>
        <w:t>M3:</w:t>
      </w:r>
      <w:r>
        <w:rPr>
          <w:rFonts w:ascii="Calibri" w:hAnsi="Calibri" w:eastAsia="Calibri"/>
          <w:b w:val="0"/>
          <w:sz w:val="17"/>
        </w:rPr>
        <w:t xml:space="preserve"> send Section 25 questions when an organizer channel opens.</w:t>
      </w:r>
    </w:p>
    <w:p>
      <w:r>
        <w:br w:type="page"/>
      </w:r>
    </w:p>
    <w:p>
      <w:pPr>
        <w:pStyle w:val="Heading1"/>
      </w:pPr>
      <w:r>
        <w:rPr>
          <w:rFonts w:ascii="Calibri" w:hAnsi="Calibri" w:eastAsia="Calibri"/>
          <w:b/>
        </w:rPr>
        <w:t>Contents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Section</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Purpose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00</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Executive Summary</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01</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Competition Brief</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02</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Winning Strategy</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03</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Research Findings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04</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Opportunity Landscape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05</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Candidate Solutions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06</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Evaluation &amp; Red-Team Analysis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07</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Selected Solution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08</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Proposal Name &amp; Positioning</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09</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Data Strategy</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10</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Product &amp; User Workflow</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11</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Technical Architecture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12</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AI/Model Strategy</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13</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MVP Scope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14</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Figma / UX Brief</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15</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Evaluation Strategy</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16</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Privacy &amp; Governance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17</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Team Roles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18</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Execution Roadmap</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19</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ChatGPT Work ↔ Claude Code Workflow</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20</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Engineering Handoff</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21</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Proposal Deck Plan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22</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Demo Plan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23</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Risk Register</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24</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Final Submission Checklist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25</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Questions Requiring Validation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26</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Sources</w:t>
            </w:r>
          </w:p>
        </w:tc>
      </w:tr>
    </w:tbl>
    <w:p>
      <w:pPr>
        <w:spacing w:before="0" w:after="60"/>
      </w:pPr>
    </w:p>
    <w:p>
      <w:pPr>
        <w:pStyle w:val="Heading1"/>
        <w:pageBreakBefore/>
      </w:pPr>
      <w:r>
        <w:rPr>
          <w:rFonts w:ascii="Calibri" w:hAnsi="Calibri" w:eastAsia="Calibri"/>
          <w:b/>
        </w:rPr>
        <w:t>00. Executive Summary</w:t>
      </w:r>
    </w:p>
    <w:p>
      <w:pPr>
        <w:pStyle w:val="Heading2"/>
      </w:pPr>
      <w:r>
        <w:rPr>
          <w:rFonts w:ascii="Calibri" w:hAnsi="Calibri" w:eastAsia="Calibri"/>
          <w:b/>
        </w:rPr>
        <w:t>Recommendation</w:t>
      </w:r>
    </w:p>
    <w:p>
      <w:pPr/>
      <w:r>
        <w:rPr>
          <w:rFonts w:ascii="Calibri" w:hAnsi="Calibri" w:eastAsia="Calibri"/>
          <w:b w:val="0"/>
        </w:rPr>
        <w:t xml:space="preserve">Select </w:t>
      </w:r>
      <w:r>
        <w:rPr>
          <w:rFonts w:ascii="Calibri" w:hAnsi="Calibri" w:eastAsia="Calibri"/>
          <w:b/>
        </w:rPr>
        <w:t>Efisiensi Risiko pada Fasilitas Kesehatan</w:t>
      </w:r>
      <w:r>
        <w:rPr>
          <w:rFonts w:ascii="Calibri" w:hAnsi="Calibri" w:eastAsia="Calibri"/>
          <w:b w:val="0"/>
        </w:rPr>
        <w:t xml:space="preserve"> and build TilikKlaim as a </w:t>
      </w:r>
      <w:r>
        <w:rPr>
          <w:rFonts w:ascii="Calibri" w:hAnsi="Calibri" w:eastAsia="Calibri"/>
          <w:b/>
        </w:rPr>
        <w:t>functional prototype</w:t>
      </w:r>
      <w:r>
        <w:rPr>
          <w:rFonts w:ascii="Calibri" w:hAnsi="Calibri" w:eastAsia="Calibri"/>
          <w:b w:val="0"/>
        </w:rPr>
        <w:t xml:space="preserve">, not a claimed production MVP. The official proposal guide defines a prototype as a limited but functioning and demonstrable implementation; an MVP implies usability by real users. With no current access to hospital or BPJS users, the honest maturity label is </w:t>
      </w:r>
      <w:r>
        <w:rPr>
          <w:rFonts w:ascii="Calibri" w:hAnsi="Calibri" w:eastAsia="Calibri"/>
          <w:b/>
        </w:rPr>
        <w:t>functional prototype with a pilot-ready validation plan</w:t>
      </w:r>
      <w:r>
        <w:rPr>
          <w:rFonts w:ascii="Calibri" w:hAnsi="Calibri" w:eastAsia="Calibri"/>
          <w:b w:val="0"/>
        </w:rPr>
        <w:t>. [PDF-PP p. 10]</w:t>
      </w:r>
    </w:p>
    <w:p>
      <w:pPr/>
      <w:r>
        <w:rPr>
          <w:rFonts w:ascii="Calibri" w:hAnsi="Calibri" w:eastAsia="Calibri"/>
          <w:b w:val="0"/>
        </w:rPr>
        <w:t xml:space="preserve">The strategic wedge is narrow: </w:t>
      </w:r>
      <w:r>
        <w:rPr>
          <w:rFonts w:ascii="Calibri" w:hAnsi="Calibri" w:eastAsia="Calibri"/>
          <w:b/>
        </w:rPr>
        <w:t>pre-submission integrity screening of the claim evidence bundle</w:t>
      </w:r>
      <w:r>
        <w:rPr>
          <w:rFonts w:ascii="Calibri" w:hAnsi="Calibri" w:eastAsia="Calibri"/>
          <w:b w:val="0"/>
        </w:rPr>
        <w:t>. The prototype does not attempt to solve every claim risk, diagnose patients, replace coders, or integrate live BPJS systems. It proves an evidence architecture and four observable patterns using reproducible synthetic data.</w:t>
      </w:r>
    </w:p>
    <w:p>
      <w:pPr>
        <w:pStyle w:val="Heading2"/>
      </w:pPr>
      <w:r>
        <w:rPr>
          <w:rFonts w:ascii="Calibri" w:hAnsi="Calibri" w:eastAsia="Calibri"/>
          <w:b/>
        </w:rPr>
        <w:t>Decision rationale</w:t>
      </w:r>
    </w:p>
    <w:p>
      <w:pPr/>
      <w:r>
        <w:rPr>
          <w:rFonts w:ascii="Calibri" w:hAnsi="Calibri" w:eastAsia="Calibri"/>
          <w:b w:val="0"/>
        </w:rPr>
        <w:t>This direction wins the intersection test better than the alternatives:</w:t>
      </w:r>
    </w:p>
    <w:p>
      <w:pPr>
        <w:keepLines/>
        <w:spacing w:after="80" w:line="300" w:lineRule="auto"/>
        <w:numPr>
          <w:ilvl w:val="0"/>
          <w:numId w:val="12"/>
        </w:numPr>
      </w:pPr>
      <w:r>
        <w:rPr>
          <w:rFonts w:ascii="Calibri" w:hAnsi="Calibri" w:eastAsia="Calibri"/>
          <w:b/>
          <w:sz w:val="21"/>
        </w:rPr>
        <w:t>Official problem fit:</w:t>
      </w:r>
      <w:r>
        <w:rPr>
          <w:rFonts w:ascii="Calibri" w:hAnsi="Calibri" w:eastAsia="Calibri"/>
          <w:b w:val="0"/>
          <w:sz w:val="21"/>
        </w:rPr>
        <w:t xml:space="preserve"> the target modes are named in the facility category. [PDF-PG pp. 6–7]</w:t>
      </w:r>
    </w:p>
    <w:p>
      <w:pPr>
        <w:keepLines/>
        <w:spacing w:after="80" w:line="300" w:lineRule="auto"/>
        <w:numPr>
          <w:ilvl w:val="0"/>
          <w:numId w:val="12"/>
        </w:numPr>
      </w:pPr>
      <w:r>
        <w:rPr>
          <w:rFonts w:ascii="Calibri" w:hAnsi="Calibri" w:eastAsia="Calibri"/>
          <w:b/>
          <w:sz w:val="21"/>
        </w:rPr>
        <w:t>Policy timing:</w:t>
      </w:r>
      <w:r>
        <w:rPr>
          <w:rFonts w:ascii="Calibri" w:hAnsi="Calibri" w:eastAsia="Calibri"/>
          <w:b w:val="0"/>
          <w:sz w:val="21"/>
        </w:rPr>
        <w:t xml:space="preserve"> the July 2026 joint circular makes RME-to-claim traceability an immediate national operating direction, not a speculative future. [E01]</w:t>
      </w:r>
    </w:p>
    <w:p>
      <w:pPr>
        <w:keepLines/>
        <w:spacing w:after="80" w:line="300" w:lineRule="auto"/>
        <w:numPr>
          <w:ilvl w:val="0"/>
          <w:numId w:val="12"/>
        </w:numPr>
      </w:pPr>
      <w:r>
        <w:rPr>
          <w:rFonts w:ascii="Calibri" w:hAnsi="Calibri" w:eastAsia="Calibri"/>
          <w:b/>
          <w:sz w:val="21"/>
        </w:rPr>
        <w:t>Interoperability feasibility:</w:t>
      </w:r>
      <w:r>
        <w:rPr>
          <w:rFonts w:ascii="Calibri" w:hAnsi="Calibri" w:eastAsia="Calibri"/>
          <w:b w:val="0"/>
          <w:sz w:val="21"/>
        </w:rPr>
        <w:t xml:space="preserve"> SATUSEHAT publicly documents the claim flow and the relevant FHIR resources, including Claim, ClaimResponse, Account, ChargeItem, Invoice, Coverage, PurificationDecision, and clinical RME resources. [E02–E04]</w:t>
      </w:r>
    </w:p>
    <w:p>
      <w:pPr>
        <w:keepLines/>
        <w:spacing w:after="80" w:line="300" w:lineRule="auto"/>
        <w:numPr>
          <w:ilvl w:val="0"/>
          <w:numId w:val="12"/>
        </w:numPr>
      </w:pPr>
      <w:r>
        <w:rPr>
          <w:rFonts w:ascii="Calibri" w:hAnsi="Calibri" w:eastAsia="Calibri"/>
          <w:b/>
          <w:sz w:val="21"/>
        </w:rPr>
        <w:t>Scale and urgency:</w:t>
      </w:r>
      <w:r>
        <w:rPr>
          <w:rFonts w:ascii="Calibri" w:hAnsi="Calibri" w:eastAsia="Calibri"/>
          <w:b w:val="0"/>
          <w:sz w:val="21"/>
        </w:rPr>
        <w:t xml:space="preserve"> the November 2025 DJSN monitoring report recorded 283 million registered participants, 664.3 million visits through November, Rp172.59 trillion in health benefits, and a 108.04% claim ratio; these show operating scale and financial pressure, </w:t>
      </w:r>
      <w:r>
        <w:rPr>
          <w:rFonts w:ascii="Calibri" w:hAnsi="Calibri" w:eastAsia="Calibri"/>
          <w:b/>
          <w:sz w:val="21"/>
        </w:rPr>
        <w:t>not fraud prevalence or fraud loss</w:t>
      </w:r>
      <w:r>
        <w:rPr>
          <w:rFonts w:ascii="Calibri" w:hAnsi="Calibri" w:eastAsia="Calibri"/>
          <w:b w:val="0"/>
          <w:sz w:val="21"/>
        </w:rPr>
        <w:t>. [E06]</w:t>
      </w:r>
    </w:p>
    <w:p>
      <w:pPr>
        <w:keepLines/>
        <w:spacing w:after="80" w:line="300" w:lineRule="auto"/>
        <w:numPr>
          <w:ilvl w:val="0"/>
          <w:numId w:val="12"/>
        </w:numPr>
      </w:pPr>
      <w:r>
        <w:rPr>
          <w:rFonts w:ascii="Calibri" w:hAnsi="Calibri" w:eastAsia="Calibri"/>
          <w:b/>
          <w:sz w:val="21"/>
        </w:rPr>
        <w:t>Buildability:</w:t>
      </w:r>
      <w:r>
        <w:rPr>
          <w:rFonts w:ascii="Calibri" w:hAnsi="Calibri" w:eastAsia="Calibri"/>
          <w:b w:val="0"/>
          <w:sz w:val="21"/>
        </w:rPr>
        <w:t xml:space="preserve"> the team can generate synthetic FHIR, implement transparent rules/similarity/anomaly methods, and ship a credible web review loop before 19 September.</w:t>
      </w:r>
    </w:p>
    <w:p>
      <w:pPr>
        <w:keepLines/>
        <w:spacing w:after="80" w:line="300" w:lineRule="auto"/>
        <w:numPr>
          <w:ilvl w:val="0"/>
          <w:numId w:val="12"/>
        </w:numPr>
      </w:pPr>
      <w:r>
        <w:rPr>
          <w:rFonts w:ascii="Calibri" w:hAnsi="Calibri" w:eastAsia="Calibri"/>
          <w:b/>
          <w:sz w:val="21"/>
        </w:rPr>
        <w:t>Governance:</w:t>
      </w:r>
      <w:r>
        <w:rPr>
          <w:rFonts w:ascii="Calibri" w:hAnsi="Calibri" w:eastAsia="Calibri"/>
          <w:b w:val="0"/>
          <w:sz w:val="21"/>
        </w:rPr>
        <w:t xml:space="preserve"> the system supports rather than replaces human decisions, matching the proposal guide. [PDF-PP pp. 3, 13]</w:t>
      </w:r>
    </w:p>
    <w:p>
      <w:pPr>
        <w:pStyle w:val="Heading2"/>
      </w:pPr>
      <w:r>
        <w:rPr>
          <w:rFonts w:ascii="Calibri" w:hAnsi="Calibri" w:eastAsia="Calibri"/>
          <w:b/>
        </w:rPr>
        <w:t>Explicit non-claims</w:t>
      </w:r>
    </w:p>
    <w:p>
      <w:pPr/>
      <w:r>
        <w:rPr>
          <w:rFonts w:ascii="Calibri" w:hAnsi="Calibri" w:eastAsia="Calibri"/>
          <w:b w:val="0"/>
        </w:rPr>
        <w:t xml:space="preserve">National JKN fraud prevalence or current fraud loss: </w:t>
      </w:r>
      <w:r>
        <w:rPr>
          <w:rFonts w:ascii="Calibri" w:hAnsi="Calibri" w:eastAsia="Calibri"/>
          <w:b/>
        </w:rPr>
        <w:t>Evidence not established.</w:t>
      </w:r>
      <w:r>
        <w:rPr>
          <w:rFonts w:ascii="Calibri" w:hAnsi="Calibri" w:eastAsia="Calibri"/>
          <w:b w:val="0"/>
        </w:rPr>
        <w:t xml:space="preserve"> Detailed capability and performance of BPJS internal fraud systems: </w:t>
      </w:r>
      <w:r>
        <w:rPr>
          <w:rFonts w:ascii="Calibri" w:hAnsi="Calibri" w:eastAsia="Calibri"/>
          <w:b/>
        </w:rPr>
        <w:t>Evidence not established.</w:t>
      </w:r>
      <w:r>
        <w:rPr>
          <w:rFonts w:ascii="Calibri" w:hAnsi="Calibri" w:eastAsia="Calibri"/>
          <w:b w:val="0"/>
        </w:rPr>
        <w:t xml:space="preserve"> Real-world accuracy or savings for TilikKlaim: </w:t>
      </w:r>
      <w:r>
        <w:rPr>
          <w:rFonts w:ascii="Calibri" w:hAnsi="Calibri" w:eastAsia="Calibri"/>
          <w:b/>
        </w:rPr>
        <w:t>Evidence not established until an authorized pilot.</w:t>
      </w:r>
      <w:r>
        <w:rPr>
          <w:rFonts w:ascii="Calibri" w:hAnsi="Calibri" w:eastAsia="Calibri"/>
          <w:b w:val="0"/>
        </w:rPr>
        <w:t xml:space="preserve"> Detailed functional overlap with 2025 PRO-CLAIM: </w:t>
      </w:r>
      <w:r>
        <w:rPr>
          <w:rFonts w:ascii="Calibri" w:hAnsi="Calibri" w:eastAsia="Calibri"/>
          <w:b/>
        </w:rPr>
        <w:t>Evidence not established from public sources.</w:t>
      </w:r>
    </w:p>
    <w:p>
      <w:pPr>
        <w:pStyle w:val="Heading2"/>
      </w:pPr>
      <w:r>
        <w:rPr>
          <w:rFonts w:ascii="Calibri" w:hAnsi="Calibri" w:eastAsia="Calibri"/>
          <w:b/>
        </w:rPr>
        <w:t>Winning narrative in one paragraph</w:t>
      </w:r>
    </w:p>
    <w:p>
      <w:pPr/>
      <w:r>
        <w:rPr>
          <w:rFonts w:ascii="Calibri" w:hAnsi="Calibri" w:eastAsia="Calibri"/>
          <w:b w:val="0"/>
        </w:rPr>
        <w:t xml:space="preserve">JKN is moving toward claims supported by traceable SATUSEHAT-integrated electronic records. That creates a near-term opportunity: before a claim is submitted, convert its clinical and billing resources into a small evidence graph, test whether each billed event has consistent support, rank anomalous patterns, and let a trained person decide. TilikKlaim makes claim risk </w:t>
      </w:r>
      <w:r>
        <w:rPr>
          <w:rFonts w:ascii="Calibri" w:hAnsi="Calibri" w:eastAsia="Calibri"/>
          <w:b/>
        </w:rPr>
        <w:t>visible, reviewable, and auditable</w:t>
      </w:r>
      <w:r>
        <w:rPr>
          <w:rFonts w:ascii="Calibri" w:hAnsi="Calibri" w:eastAsia="Calibri"/>
          <w:b w:val="0"/>
        </w:rPr>
        <w:t>. It uses rules where the evidence is deterministic, statistical methods where comparison matters, and no LLM in the risk decision. Its prototype is honest—synthetic, reproducible, measured against a baseline, and designed for authorized integration later.</w:t>
      </w:r>
    </w:p>
    <w:p>
      <w:pPr>
        <w:pStyle w:val="Heading1"/>
        <w:pageBreakBefore/>
      </w:pPr>
      <w:r>
        <w:rPr>
          <w:rFonts w:ascii="Calibri" w:hAnsi="Calibri" w:eastAsia="Calibri"/>
          <w:b/>
        </w:rPr>
        <w:t>01. Competition Brief</w:t>
      </w:r>
    </w:p>
    <w:p>
      <w:pPr>
        <w:pStyle w:val="Heading2"/>
      </w:pPr>
      <w:r>
        <w:rPr>
          <w:rFonts w:ascii="Calibri" w:hAnsi="Calibri" w:eastAsia="Calibri"/>
          <w:b/>
        </w:rPr>
        <w:t>Source of truth and official objective</w:t>
      </w:r>
    </w:p>
    <w:p>
      <w:pPr/>
      <w:r>
        <w:rPr>
          <w:rFonts w:ascii="Calibri" w:hAnsi="Calibri" w:eastAsia="Calibri"/>
          <w:b/>
        </w:rPr>
        <w:t>OFFICIAL PDF.</w:t>
      </w:r>
      <w:r>
        <w:rPr>
          <w:rFonts w:ascii="Calibri" w:hAnsi="Calibri" w:eastAsia="Calibri"/>
          <w:b w:val="0"/>
        </w:rPr>
        <w:t xml:space="preserve"> Healthkathon 2026 seeks digital innovation to identify, detect, and mitigate risks in JKN healthcare services, improving effectiveness, efficiency, service quality, and digital transformation. The official theme is </w:t>
      </w:r>
      <w:r>
        <w:rPr>
          <w:rFonts w:ascii="Calibri" w:hAnsi="Calibri" w:eastAsia="Calibri"/>
          <w:b/>
        </w:rPr>
        <w:t>“Detect Smarter, Protect JKN — Smarter Protection for a Stronger JKN: Efisiensi Risiko Program JKN.”</w:t>
      </w:r>
      <w:r>
        <w:rPr>
          <w:rFonts w:ascii="Calibri" w:hAnsi="Calibri" w:eastAsia="Calibri"/>
          <w:b w:val="0"/>
        </w:rPr>
        <w:t xml:space="preserve"> The official challenge is </w:t>
      </w:r>
      <w:r>
        <w:rPr>
          <w:rFonts w:ascii="Calibri" w:hAnsi="Calibri" w:eastAsia="Calibri"/>
          <w:b/>
        </w:rPr>
        <w:t>“Efisiensi Risiko pada Pelayanan Kesehatan Program JKN.”</w:t>
      </w:r>
      <w:r>
        <w:rPr>
          <w:rFonts w:ascii="Calibri" w:hAnsi="Calibri" w:eastAsia="Calibri"/>
          <w:b w:val="0"/>
        </w:rPr>
        <w:t xml:space="preserve"> [PDF-PG pp. 2–3]</w:t>
      </w:r>
    </w:p>
    <w:p>
      <w:pPr>
        <w:pStyle w:val="Heading2"/>
      </w:pPr>
      <w:r>
        <w:rPr>
          <w:rFonts w:ascii="Calibri" w:hAnsi="Calibri" w:eastAsia="Calibri"/>
          <w:b/>
        </w:rPr>
        <w:t>Official categories and combination rule</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Official category</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Officially listed risk modes — concise extraction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color w:val="0B2545"/>
                <w:sz w:val="18"/>
              </w:rPr>
              <w:t>Efisiensi Risiko pada Peserta</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participant data/identity falsification; misuse/loan/rental/sale of identity; medically unnecessary services; misuse of drugs/medical devices. [PDF-PG category table]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color w:val="0B2545"/>
                <w:sz w:val="18"/>
              </w:rPr>
              <w:t>Efisiensi Risiko pada Fasilitas Kesehatan</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capitation/non-capitation misuse; claim manipulation; improper referral; upcoding; cloning; phantom billing; inflated bills; episode splitting; unbundling/fragmentation; self-referral; repeat billing; prolonged length of stay; room-charge manipulation; billing for services not performed; non-indicated treatment; readmission; fictitious drugs/devices/procedures; reduced dispensed quantity; manipulated test results. [PDF-PG pp. 6–7]</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color w:val="0B2545"/>
                <w:sz w:val="18"/>
              </w:rPr>
              <w:t>Efisiensi Risiko pada Pemberi Kerja</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partial worker registration; underreported wages; withheld/delayed remittance; employment-status misclassification; manipulation of new/mutated/resigned worker data; and, in the Participant Guide, collusion with facilities/fictitious medical certificates. [PDF-PG p. 7]</w:t>
            </w:r>
          </w:p>
        </w:tc>
      </w:tr>
    </w:tbl>
    <w:p>
      <w:pPr>
        <w:spacing w:before="0" w:after="60"/>
      </w:pPr>
    </w:p>
    <w:p>
      <w:pPr/>
      <w:r>
        <w:rPr>
          <w:rFonts w:ascii="Calibri" w:hAnsi="Calibri" w:eastAsia="Calibri"/>
          <w:b/>
        </w:rPr>
        <w:t>Non-negotiable:</w:t>
      </w:r>
      <w:r>
        <w:rPr>
          <w:rFonts w:ascii="Calibri" w:hAnsi="Calibri" w:eastAsia="Calibri"/>
          <w:b w:val="0"/>
        </w:rPr>
        <w:t xml:space="preserve"> a team selects exactly </w:t>
      </w:r>
      <w:r>
        <w:rPr>
          <w:rFonts w:ascii="Calibri" w:hAnsi="Calibri" w:eastAsia="Calibri"/>
          <w:b/>
        </w:rPr>
        <w:t>one</w:t>
      </w:r>
      <w:r>
        <w:rPr>
          <w:rFonts w:ascii="Calibri" w:hAnsi="Calibri" w:eastAsia="Calibri"/>
          <w:b w:val="0"/>
        </w:rPr>
        <w:t xml:space="preserve"> official category. It may address one or more modes only inside that selected category. A team submits one innovation. [PDF-PG; PDF-PP p. 2]</w:t>
      </w:r>
    </w:p>
    <w:p>
      <w:pPr>
        <w:pStyle w:val="Heading2"/>
      </w:pPr>
      <w:r>
        <w:rPr>
          <w:rFonts w:ascii="Calibri" w:hAnsi="Calibri" w:eastAsia="Calibri"/>
          <w:b/>
        </w:rPr>
        <w:t>Proposal requirements and constraints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Requirement</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Binding constraint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Format</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PDF</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Maximum length</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20 slides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Maximum file size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10 MB</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Category/solution</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One official category and one solution per team</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Required content</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Identity and positioning; problem and urgency; solution and advantage; technical/data approach; maturity/prototype; implementation plan and feasibility; impact/value; risk/privacy/ethics; team profile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Flexibility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Slide order may change and supporting slides may be added, provided every required component is covered and the limits are respected</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Maturity language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Call it a prototype if core functionality works in a limited, demonstrable environment; call it an MVP only if real users can use the core product</w:t>
            </w:r>
          </w:p>
        </w:tc>
      </w:tr>
    </w:tbl>
    <w:p>
      <w:pPr>
        <w:spacing w:before="0" w:after="60"/>
      </w:pPr>
    </w:p>
    <w:p>
      <w:pPr>
        <w:pStyle w:val="TableCitation"/>
      </w:pPr>
      <w:r>
        <w:rPr>
          <w:rFonts w:ascii="Calibri" w:hAnsi="Calibri" w:eastAsia="Calibri"/>
          <w:b w:val="0"/>
        </w:rPr>
        <w:t>Source: [PDF-PP pp. 2, 6–14].</w:t>
      </w:r>
    </w:p>
    <w:p>
      <w:pPr>
        <w:pStyle w:val="Heading2"/>
      </w:pPr>
      <w:r>
        <w:rPr>
          <w:rFonts w:ascii="Calibri" w:hAnsi="Calibri" w:eastAsia="Calibri"/>
          <w:b/>
        </w:rPr>
        <w:t>Official six judging dimensions</w:t>
      </w:r>
    </w:p>
    <w:p>
      <w:pPr/>
      <w:r>
        <w:rPr>
          <w:rFonts w:ascii="Calibri" w:hAnsi="Calibri" w:eastAsia="Calibri"/>
          <w:b w:val="0"/>
        </w:rPr>
        <w:t xml:space="preserve">The proposal guide publishes six dimensions but </w:t>
      </w:r>
      <w:r>
        <w:rPr>
          <w:rFonts w:ascii="Calibri" w:hAnsi="Calibri" w:eastAsia="Calibri"/>
          <w:b/>
        </w:rPr>
        <w:t>does not publish weights</w:t>
      </w:r>
      <w:r>
        <w:rPr>
          <w:rFonts w:ascii="Calibri" w:hAnsi="Calibri" w:eastAsia="Calibri"/>
          <w:b w:val="0"/>
        </w:rPr>
        <w:t>. Do not invent official weights.</w:t>
      </w:r>
    </w:p>
    <w:p>
      <w:pPr>
        <w:keepLines/>
        <w:spacing w:after="80" w:line="300" w:lineRule="auto"/>
        <w:numPr>
          <w:ilvl w:val="0"/>
          <w:numId w:val="13"/>
        </w:numPr>
      </w:pPr>
      <w:r>
        <w:rPr>
          <w:rFonts w:ascii="Calibri" w:hAnsi="Calibri" w:eastAsia="Calibri"/>
          <w:b/>
          <w:sz w:val="21"/>
        </w:rPr>
        <w:t>Relevance of the problem</w:t>
      </w:r>
      <w:r>
        <w:rPr>
          <w:rFonts w:ascii="Calibri" w:hAnsi="Calibri" w:eastAsia="Calibri"/>
          <w:b w:val="0"/>
          <w:sz w:val="21"/>
        </w:rPr>
        <w:t xml:space="preserve"> — real, specific, urgent, and tied to the JKN challenge.</w:t>
      </w:r>
    </w:p>
    <w:p>
      <w:pPr>
        <w:keepLines/>
        <w:spacing w:after="80" w:line="300" w:lineRule="auto"/>
        <w:numPr>
          <w:ilvl w:val="0"/>
          <w:numId w:val="13"/>
        </w:numPr>
      </w:pPr>
      <w:r>
        <w:rPr>
          <w:rFonts w:ascii="Calibri" w:hAnsi="Calibri" w:eastAsia="Calibri"/>
          <w:b/>
          <w:sz w:val="21"/>
        </w:rPr>
        <w:t>Creativity and innovation</w:t>
      </w:r>
      <w:r>
        <w:rPr>
          <w:rFonts w:ascii="Calibri" w:hAnsi="Calibri" w:eastAsia="Calibri"/>
          <w:b w:val="0"/>
          <w:sz w:val="21"/>
        </w:rPr>
        <w:t xml:space="preserve"> — meaningful advantage, not novelty theater.</w:t>
      </w:r>
    </w:p>
    <w:p>
      <w:pPr>
        <w:keepLines/>
        <w:spacing w:after="80" w:line="300" w:lineRule="auto"/>
        <w:numPr>
          <w:ilvl w:val="0"/>
          <w:numId w:val="13"/>
        </w:numPr>
      </w:pPr>
      <w:r>
        <w:rPr>
          <w:rFonts w:ascii="Calibri" w:hAnsi="Calibri" w:eastAsia="Calibri"/>
          <w:b/>
          <w:sz w:val="21"/>
        </w:rPr>
        <w:t>Technology quality</w:t>
      </w:r>
      <w:r>
        <w:rPr>
          <w:rFonts w:ascii="Calibri" w:hAnsi="Calibri" w:eastAsia="Calibri"/>
          <w:b w:val="0"/>
          <w:sz w:val="21"/>
        </w:rPr>
        <w:t xml:space="preserve"> — coherent end-to-end design and appropriate use of AI.</w:t>
      </w:r>
    </w:p>
    <w:p>
      <w:pPr>
        <w:keepLines/>
        <w:spacing w:after="80" w:line="300" w:lineRule="auto"/>
        <w:numPr>
          <w:ilvl w:val="0"/>
          <w:numId w:val="13"/>
        </w:numPr>
      </w:pPr>
      <w:r>
        <w:rPr>
          <w:rFonts w:ascii="Calibri" w:hAnsi="Calibri" w:eastAsia="Calibri"/>
          <w:b/>
          <w:sz w:val="21"/>
        </w:rPr>
        <w:t>Effectiveness and impact</w:t>
      </w:r>
      <w:r>
        <w:rPr>
          <w:rFonts w:ascii="Calibri" w:hAnsi="Calibri" w:eastAsia="Calibri"/>
          <w:b w:val="0"/>
          <w:sz w:val="21"/>
        </w:rPr>
        <w:t xml:space="preserve"> — measurable value and plausible change.</w:t>
      </w:r>
    </w:p>
    <w:p>
      <w:pPr>
        <w:keepLines/>
        <w:spacing w:after="80" w:line="300" w:lineRule="auto"/>
        <w:numPr>
          <w:ilvl w:val="0"/>
          <w:numId w:val="13"/>
        </w:numPr>
      </w:pPr>
      <w:r>
        <w:rPr>
          <w:rFonts w:ascii="Calibri" w:hAnsi="Calibri" w:eastAsia="Calibri"/>
          <w:b/>
          <w:sz w:val="21"/>
        </w:rPr>
        <w:t>Readiness and scalability</w:t>
      </w:r>
      <w:r>
        <w:rPr>
          <w:rFonts w:ascii="Calibri" w:hAnsi="Calibri" w:eastAsia="Calibri"/>
          <w:b w:val="0"/>
          <w:sz w:val="21"/>
        </w:rPr>
        <w:t xml:space="preserve"> — honest maturity, feasible plan, and path to JKN-scale use.</w:t>
      </w:r>
    </w:p>
    <w:p>
      <w:pPr>
        <w:keepLines/>
        <w:spacing w:after="80" w:line="300" w:lineRule="auto"/>
        <w:numPr>
          <w:ilvl w:val="0"/>
          <w:numId w:val="13"/>
        </w:numPr>
      </w:pPr>
      <w:r>
        <w:rPr>
          <w:rFonts w:ascii="Calibri" w:hAnsi="Calibri" w:eastAsia="Calibri"/>
          <w:b/>
          <w:sz w:val="21"/>
        </w:rPr>
        <w:t>Security and governance</w:t>
      </w:r>
      <w:r>
        <w:rPr>
          <w:rFonts w:ascii="Calibri" w:hAnsi="Calibri" w:eastAsia="Calibri"/>
          <w:b w:val="0"/>
          <w:sz w:val="21"/>
        </w:rPr>
        <w:t xml:space="preserve"> — privacy, ethics, risk control, explainability, and human oversight.</w:t>
      </w:r>
    </w:p>
    <w:p>
      <w:pPr>
        <w:pStyle w:val="TableCitation"/>
      </w:pPr>
      <w:r>
        <w:rPr>
          <w:rFonts w:ascii="Calibri" w:hAnsi="Calibri" w:eastAsia="Calibri"/>
          <w:b w:val="0"/>
        </w:rPr>
        <w:t>Source: [PDF-PP p. 3].</w:t>
      </w:r>
    </w:p>
    <w:p>
      <w:pPr>
        <w:pStyle w:val="Heading2"/>
      </w:pPr>
      <w:r>
        <w:rPr>
          <w:rFonts w:ascii="Calibri" w:hAnsi="Calibri" w:eastAsia="Calibri"/>
          <w:b/>
        </w:rPr>
        <w:t>Dates and stages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3900"/>
        <w:gridCol w:w="5460"/>
      </w:tblGrid>
      <w:tr>
        <w:trPr>
          <w:tblHeader w:val="true"/>
        </w:trPr>
        <w:tc>
          <w:tcPr>
            <w:tcW w:type="dxa" w:w="39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Stage</w:t>
            </w:r>
          </w:p>
        </w:tc>
        <w:tc>
          <w:tcPr>
            <w:tcW w:type="dxa" w:w="54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Official timing as of the supplied guide</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Registration</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color w:val="0B2545"/>
                <w:sz w:val="18"/>
              </w:rPr>
              <w:t>14 August–14 September 2026</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Proposal submission</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color w:val="0B2545"/>
                <w:sz w:val="18"/>
              </w:rPr>
              <w:t>14 August–19 September 2026</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Proposal selection</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TBA</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Coaching</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TBC</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Hackathon event</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TBC; approximately three weeks</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Demo Day / Grand Final</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TBC</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Winner announcement</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TBC</w:t>
            </w:r>
          </w:p>
        </w:tc>
      </w:tr>
    </w:tbl>
    <w:p>
      <w:pPr>
        <w:spacing w:before="0" w:after="60"/>
      </w:pPr>
    </w:p>
    <w:p>
      <w:pPr>
        <w:pStyle w:val="TableCitation"/>
      </w:pPr>
      <w:r>
        <w:rPr>
          <w:rFonts w:ascii="Calibri" w:hAnsi="Calibri" w:eastAsia="Calibri"/>
          <w:b w:val="0"/>
        </w:rPr>
        <w:t>Source: [PDF-PG p. 8]. The guide does not establish the portal closing hour/time zone; validate it.</w:t>
      </w:r>
    </w:p>
    <w:p>
      <w:pPr>
        <w:pStyle w:val="Heading2"/>
      </w:pPr>
      <w:r>
        <w:rPr>
          <w:rFonts w:ascii="Calibri" w:hAnsi="Calibri" w:eastAsia="Calibri"/>
          <w:b/>
        </w:rPr>
        <w:t>Eligibility, originality, data, and conduct</w:t>
      </w:r>
    </w:p>
    <w:p>
      <w:pPr>
        <w:keepLines/>
        <w:spacing w:after="80" w:line="300" w:lineRule="auto"/>
        <w:numPr>
          <w:ilvl w:val="0"/>
          <w:numId w:val="14"/>
        </w:numPr>
      </w:pPr>
      <w:r>
        <w:rPr>
          <w:rFonts w:ascii="Calibri" w:hAnsi="Calibri" w:eastAsia="Calibri"/>
          <w:b w:val="0"/>
          <w:sz w:val="21"/>
        </w:rPr>
        <w:t xml:space="preserve">Teams contain </w:t>
      </w:r>
      <w:r>
        <w:rPr>
          <w:rFonts w:ascii="Calibri" w:hAnsi="Calibri" w:eastAsia="Calibri"/>
          <w:b/>
          <w:sz w:val="21"/>
        </w:rPr>
        <w:t>one to three members</w:t>
      </w:r>
      <w:r>
        <w:rPr>
          <w:rFonts w:ascii="Calibri" w:hAnsi="Calibri" w:eastAsia="Calibri"/>
          <w:b w:val="0"/>
          <w:sz w:val="21"/>
        </w:rPr>
        <w:t>, with one chair. Each person may join one team, and each team submits one innovation. [PDF-PG pp. 4–5]</w:t>
      </w:r>
    </w:p>
    <w:p>
      <w:pPr>
        <w:keepLines/>
        <w:spacing w:after="80" w:line="300" w:lineRule="auto"/>
        <w:numPr>
          <w:ilvl w:val="0"/>
          <w:numId w:val="14"/>
        </w:numPr>
      </w:pPr>
      <w:r>
        <w:rPr>
          <w:rFonts w:ascii="Calibri" w:hAnsi="Calibri" w:eastAsia="Calibri"/>
          <w:b w:val="0"/>
          <w:sz w:val="21"/>
        </w:rPr>
        <w:t>Participation is open to the public except BPJS Kesehatan employees; participants must commit to all stages, which may be hybrid. [PDF-PG p. 4]</w:t>
      </w:r>
    </w:p>
    <w:p>
      <w:pPr>
        <w:keepLines/>
        <w:spacing w:after="80" w:line="300" w:lineRule="auto"/>
        <w:numPr>
          <w:ilvl w:val="0"/>
          <w:numId w:val="14"/>
        </w:numPr>
      </w:pPr>
      <w:r>
        <w:rPr>
          <w:rFonts w:ascii="Calibri" w:hAnsi="Calibri" w:eastAsia="Calibri"/>
          <w:b w:val="0"/>
          <w:sz w:val="21"/>
        </w:rPr>
        <w:t>Work must be original and must not violate intellectual property, contain prohibited/illegal content, or include SARA. [PDF-PG pp. 4–5]</w:t>
      </w:r>
    </w:p>
    <w:p>
      <w:pPr>
        <w:keepLines/>
        <w:spacing w:after="80" w:line="300" w:lineRule="auto"/>
        <w:numPr>
          <w:ilvl w:val="0"/>
          <w:numId w:val="14"/>
        </w:numPr>
      </w:pPr>
      <w:r>
        <w:rPr>
          <w:rFonts w:ascii="Calibri" w:hAnsi="Calibri" w:eastAsia="Calibri"/>
          <w:b w:val="0"/>
          <w:sz w:val="21"/>
        </w:rPr>
        <w:t>Real JKN participant data may not be used without official authorization. Use dummy/simulated data or anonymized data in accordance with the rules. [PDF-PG p. 5]</w:t>
      </w:r>
    </w:p>
    <w:p>
      <w:pPr>
        <w:keepLines/>
        <w:spacing w:after="80" w:line="300" w:lineRule="auto"/>
        <w:numPr>
          <w:ilvl w:val="0"/>
          <w:numId w:val="14"/>
        </w:numPr>
      </w:pPr>
      <w:r>
        <w:rPr>
          <w:rFonts w:ascii="Calibri" w:hAnsi="Calibri" w:eastAsia="Calibri"/>
          <w:b w:val="0"/>
          <w:sz w:val="21"/>
        </w:rPr>
        <w:t>Data privacy, security, and confidentiality must be maintained. The proposal guide expects explicit treatment of UU PDP, anonymous/synthetic data, bias, ethics, and human oversight. [PDF-PG p. 5; PDF-PP p. 13]</w:t>
      </w:r>
    </w:p>
    <w:p>
      <w:pPr>
        <w:keepLines/>
        <w:spacing w:after="80" w:line="300" w:lineRule="auto"/>
        <w:numPr>
          <w:ilvl w:val="0"/>
          <w:numId w:val="14"/>
        </w:numPr>
      </w:pPr>
      <w:r>
        <w:rPr>
          <w:rFonts w:ascii="Calibri" w:hAnsi="Calibri" w:eastAsia="Calibri"/>
          <w:b w:val="0"/>
          <w:sz w:val="21"/>
        </w:rPr>
        <w:t>Fraud, cheating, false identity, or false documentation can lead to score reduction, disqualification, or revocation of awards. [PDF-PG p. 9]</w:t>
      </w:r>
    </w:p>
    <w:p>
      <w:pPr>
        <w:keepLines/>
        <w:spacing w:after="80" w:line="300" w:lineRule="auto"/>
        <w:numPr>
          <w:ilvl w:val="0"/>
          <w:numId w:val="14"/>
        </w:numPr>
      </w:pPr>
      <w:r>
        <w:rPr>
          <w:rFonts w:ascii="Calibri" w:hAnsi="Calibri" w:eastAsia="Calibri"/>
          <w:b w:val="0"/>
          <w:sz w:val="21"/>
        </w:rPr>
        <w:t>Scores are confidential except for grand finalists; official rules may change. [PDF-PG pp. 5, 9]</w:t>
      </w:r>
    </w:p>
    <w:p>
      <w:pPr>
        <w:pStyle w:val="Heading2"/>
      </w:pPr>
      <w:r>
        <w:rPr>
          <w:rFonts w:ascii="Calibri" w:hAnsi="Calibri" w:eastAsia="Calibri"/>
          <w:b/>
        </w:rPr>
        <w:t>Conflicts and ambiguities in the two PDFs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Issue</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What the documents say</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Required action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“Kolusi &amp; Surat Fiktif” classification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 xml:space="preserve">The Participant Guide places collusion with a health facility/fictitious medical certificates under </w:t>
            </w:r>
            <w:r>
              <w:rPr>
                <w:rFonts w:ascii="Calibri" w:hAnsi="Calibri" w:eastAsia="Calibri"/>
                <w:b/>
                <w:color w:val="0B2545"/>
                <w:sz w:val="17"/>
              </w:rPr>
              <w:t>Pemberi Kerja</w:t>
            </w:r>
            <w:r>
              <w:rPr>
                <w:rFonts w:ascii="Calibri" w:hAnsi="Calibri" w:eastAsia="Calibri"/>
                <w:b w:val="0"/>
                <w:color w:val="0B2545"/>
                <w:sz w:val="17"/>
              </w:rPr>
              <w:t xml:space="preserve">. The Proposal Guide’s category reference visually places “Kolusi &amp; Surat Fiktif” under </w:t>
            </w:r>
            <w:r>
              <w:rPr>
                <w:rFonts w:ascii="Calibri" w:hAnsi="Calibri" w:eastAsia="Calibri"/>
                <w:b/>
                <w:color w:val="0B2545"/>
                <w:sz w:val="17"/>
              </w:rPr>
              <w:t>Peserta JKN</w:t>
            </w:r>
            <w:r>
              <w:rPr>
                <w:rFonts w:ascii="Calibri" w:hAnsi="Calibri" w:eastAsia="Calibri"/>
                <w:b w:val="0"/>
                <w:color w:val="0B2545"/>
                <w:sz w:val="17"/>
              </w:rPr>
              <w:t>. [PDF-PG p. 7; PDF-PP p. 5]</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Do not select this disputed mode until the organizer confirms the official category.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Inflated bills appears twice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The Participant Guide lists essentially the same “inflated bills” concept twice in the facility table. [PDF-PG pp. 6–7]</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Treat as an editorial duplication, not two separate modes, unless BPJS clarifies otherwise.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Condensed category references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The Proposal Guide summarizes facility modes and does not repeat every detailed subtype in the Participant Guide.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Use the Participant Guide as the exhaustive mode list, but ask whether proposal reviewers expect the condensed terminology.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Later dates and closing hour</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Proposal selection and later dates are TBA/TBC; the submission closing hour is not specified.</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Do not assume; submit on 18 September and ask the organizer.</w:t>
            </w:r>
          </w:p>
        </w:tc>
      </w:tr>
    </w:tbl>
    <w:p>
      <w:pPr>
        <w:spacing w:before="0" w:after="60"/>
      </w:pPr>
    </w:p>
    <w:p>
      <w:pPr>
        <w:pStyle w:val="Heading2"/>
      </w:pPr>
      <w:r>
        <w:rPr>
          <w:rFonts w:ascii="Calibri" w:hAnsi="Calibri" w:eastAsia="Calibri"/>
          <w:b/>
        </w:rPr>
        <w:t>Non-Negotiable Rules checklist</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Team registration completed by 14 September; identity and supporting information are accurate.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Proposal uploaded by 19 September; internal target is 18 September.</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Exactly one official category selected.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Exactly one solution submitted.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All selected modes belong to the same official category and avoid the disputed classification.</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Proposal is PDF, no more than 20 slides, and no more than 10 MB.</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All nine required proposal components appear.</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All six judging dimensions have visible evidence.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No real JKN participant data is used without official authorization.</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Every prototype screenshot labels data as synthetic.</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No false claim of MVP, production integration, national performance, or savings.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AI supports human decisions; it never silently rejects, sanctions, or accuses.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Originality and third-party licenses are documented.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Privacy, security, bias, auditability, and human oversight are designed into the workflow.</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Final file opens, fonts render, links are optional—not required for comprehension—and upload confirmation is saved.</w:t>
      </w:r>
    </w:p>
    <w:p>
      <w:pPr>
        <w:pStyle w:val="Heading1"/>
        <w:pageBreakBefore/>
      </w:pPr>
      <w:r>
        <w:rPr>
          <w:rFonts w:ascii="Calibri" w:hAnsi="Calibri" w:eastAsia="Calibri"/>
          <w:b/>
        </w:rPr>
        <w:t>02. Winning Strategy</w:t>
      </w:r>
    </w:p>
    <w:p>
      <w:pPr>
        <w:pStyle w:val="Heading2"/>
      </w:pPr>
      <w:r>
        <w:rPr>
          <w:rFonts w:ascii="Calibri" w:hAnsi="Calibri" w:eastAsia="Calibri"/>
          <w:b/>
        </w:rPr>
        <w:t>Strategic thesis</w:t>
      </w:r>
    </w:p>
    <w:p>
      <w:pPr/>
      <w:r>
        <w:rPr>
          <w:rFonts w:ascii="Calibri" w:hAnsi="Calibri" w:eastAsia="Calibri"/>
          <w:b w:val="0"/>
        </w:rPr>
        <w:t>Winning is not about choosing the broadest problem or the most advanced model. It is about producing the strongest chain of proof:</w:t>
      </w:r>
    </w:p>
    <w:p>
      <w:pPr/>
      <w:r>
        <w:rPr>
          <w:rFonts w:ascii="Calibri" w:hAnsi="Calibri" w:eastAsia="Calibri"/>
          <w:b/>
        </w:rPr>
        <w:t>official mode → current policy moment → observable data signal → working vertical slice → honest baseline comparison → safe human action → credible scale path.</w:t>
      </w:r>
    </w:p>
    <w:p>
      <w:pPr/>
      <w:r>
        <w:rPr>
          <w:rFonts w:ascii="Calibri" w:hAnsi="Calibri" w:eastAsia="Calibri"/>
          <w:b w:val="0"/>
        </w:rPr>
        <w:t>TilikKlaim maximizes competition evidence per unit of engineering because the same artifact—the evidence graph—supports product value, technical innovation, explainability, governance, evaluation, and demo storytelling.</w:t>
      </w:r>
    </w:p>
    <w:p>
      <w:pPr>
        <w:pStyle w:val="Heading2"/>
      </w:pPr>
      <w:r>
        <w:rPr>
          <w:rFonts w:ascii="Calibri" w:hAnsi="Calibri" w:eastAsia="Calibri"/>
          <w:b/>
        </w:rPr>
        <w:t>Evidence-to-effort rule</w:t>
      </w:r>
    </w:p>
    <w:p>
      <w:pPr/>
      <w:r>
        <w:rPr>
          <w:rFonts w:ascii="Calibri" w:hAnsi="Calibri" w:eastAsia="Calibri"/>
          <w:b w:val="0"/>
        </w:rPr>
        <w:t>Score every proposed feature with this test:</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color w:val="0B2545"/>
                <w:sz w:val="18"/>
              </w:rPr>
              <w:t>Evidence yield = number of official judging dimensions materially strengthened ÷ implementation and validation cost.</w:t>
            </w:r>
          </w:p>
        </w:tc>
      </w:tr>
    </w:tbl>
    <w:p>
      <w:pPr>
        <w:spacing w:after="0"/>
      </w:pPr>
    </w:p>
    <w:p>
      <w:pPr/>
      <w:r>
        <w:rPr>
          <w:rFonts w:ascii="Calibri" w:hAnsi="Calibri" w:eastAsia="Calibri"/>
          <w:b w:val="0"/>
        </w:rPr>
        <w:t>A feature stays only if it strengthens at least one official dimension with inspectable output. The evidence graph strengthens four: technology, impact, readiness, and governance. A decorative chatbot strengthens none unless real reviewers use it and its output is demonstrably grounded.</w:t>
      </w:r>
    </w:p>
    <w:p>
      <w:pPr>
        <w:pStyle w:val="Heading2"/>
      </w:pPr>
      <w:r>
        <w:rPr>
          <w:rFonts w:ascii="Calibri" w:hAnsi="Calibri" w:eastAsia="Calibri"/>
          <w:b/>
        </w:rPr>
        <w:t>Strategic signals versus official categories</w:t>
      </w:r>
    </w:p>
    <w:p>
      <w:pPr/>
      <w:r>
        <w:rPr>
          <w:rFonts w:ascii="Calibri" w:hAnsi="Calibri" w:eastAsia="Calibri"/>
          <w:b w:val="0"/>
        </w:rPr>
        <w:t xml:space="preserve">The four webinar themes are </w:t>
      </w:r>
      <w:r>
        <w:rPr>
          <w:rFonts w:ascii="Calibri" w:hAnsi="Calibri" w:eastAsia="Calibri"/>
          <w:b/>
        </w:rPr>
        <w:t>user-supplied verbal guidance</w:t>
      </w:r>
      <w:r>
        <w:rPr>
          <w:rFonts w:ascii="Calibri" w:hAnsi="Calibri" w:eastAsia="Calibri"/>
          <w:b w:val="0"/>
        </w:rPr>
        <w:t>, not official categories and not substitutes for the rules.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Webinar signal</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Natural fit</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How to use it without forcing</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Hospital Modernization Priority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Strong</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Primary user is a hospital casemix/anti-fraud officer; integration shape follows electronic claim/RME workflows.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National Data Integration Push</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Very strong</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Published SATUSEHAT FHIR resources and the July 2026 joint circular are the architecture anchor. [E01–E04]</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AI and Diagnostics Adoption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Moderate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Use responsible anomaly/similarity methods; this is not a diagnostic product. Do not claim diagnostic alignment.</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Primary-care Enablement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Weak for primary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Do not force. It fits the backup referral idea better.</w:t>
            </w:r>
          </w:p>
        </w:tc>
      </w:tr>
    </w:tbl>
    <w:p>
      <w:pPr>
        <w:spacing w:before="0" w:after="60"/>
      </w:pPr>
    </w:p>
    <w:p>
      <w:pPr>
        <w:pStyle w:val="Heading2"/>
      </w:pPr>
      <w:r>
        <w:rPr>
          <w:rFonts w:ascii="Calibri" w:hAnsi="Calibri" w:eastAsia="Calibri"/>
          <w:b/>
        </w:rPr>
        <w:t>What will make judges remember the solution</w:t>
      </w:r>
    </w:p>
    <w:p>
      <w:pPr/>
      <w:r>
        <w:rPr>
          <w:rFonts w:ascii="Calibri" w:hAnsi="Calibri" w:eastAsia="Calibri"/>
          <w:b w:val="0"/>
        </w:rPr>
        <w:t>“A billed procedure with no supporting Procedure event” is more memorable than “our ensemble model uses XGBoost.” The demo should let the judge see a claim line, the expected evidence, the missing or conflicting resource, the model’s uncertainty, and the reviewer’s decision in one view.</w:t>
      </w:r>
    </w:p>
    <w:p>
      <w:pPr>
        <w:pStyle w:val="Heading1"/>
        <w:pageBreakBefore/>
      </w:pPr>
      <w:r>
        <w:rPr>
          <w:rFonts w:ascii="Calibri" w:hAnsi="Calibri" w:eastAsia="Calibri"/>
          <w:b/>
        </w:rPr>
        <w:t>03. Research Findings</w:t>
      </w:r>
    </w:p>
    <w:p>
      <w:pPr>
        <w:pStyle w:val="Heading2"/>
      </w:pPr>
      <w:r>
        <w:rPr>
          <w:rFonts w:ascii="Calibri" w:hAnsi="Calibri" w:eastAsia="Calibri"/>
          <w:b/>
        </w:rPr>
        <w:t>JKN scale and risk-efficiency context</w:t>
      </w:r>
    </w:p>
    <w:p>
      <w:pPr/>
      <w:r>
        <w:rPr>
          <w:rFonts w:ascii="Calibri" w:hAnsi="Calibri" w:eastAsia="Calibri"/>
          <w:b/>
        </w:rPr>
        <w:t>EXTERNAL EVIDENCE.</w:t>
      </w:r>
      <w:r>
        <w:rPr>
          <w:rFonts w:ascii="Calibri" w:hAnsi="Calibri" w:eastAsia="Calibri"/>
          <w:b w:val="0"/>
        </w:rPr>
        <w:t xml:space="preserve"> The DJSN November 2025 monitoring report recorded 283 million registered JKN participants, 232.89 million active participants, 664.3 million visits through November, and Rp172.59 trillion in health-benefit expense. In that report, the claim ratio was 108.04% and had been above 100% since 2023. [E06] BPJS’s public site later reported 284,316,178 participants as of 31 July 2026. [E07]</w:t>
      </w:r>
    </w:p>
    <w:p>
      <w:pPr/>
      <w:r>
        <w:rPr>
          <w:rFonts w:ascii="Calibri" w:hAnsi="Calibri" w:eastAsia="Calibri"/>
          <w:b/>
        </w:rPr>
        <w:t>Interpretation:</w:t>
      </w:r>
      <w:r>
        <w:rPr>
          <w:rFonts w:ascii="Calibri" w:hAnsi="Calibri" w:eastAsia="Calibri"/>
          <w:b w:val="0"/>
        </w:rPr>
        <w:t xml:space="preserve"> JKN operates at extraordinary volume under financial pressure, so even small improvements in prioritization or preventable claim rework could matter. </w:t>
      </w:r>
      <w:r>
        <w:rPr>
          <w:rFonts w:ascii="Calibri" w:hAnsi="Calibri" w:eastAsia="Calibri"/>
          <w:b/>
        </w:rPr>
        <w:t>The figures do not establish that fraud caused the deficit or quantify fraud losses.</w:t>
      </w:r>
    </w:p>
    <w:p>
      <w:pPr>
        <w:pStyle w:val="Heading2"/>
      </w:pPr>
      <w:r>
        <w:rPr>
          <w:rFonts w:ascii="Calibri" w:hAnsi="Calibri" w:eastAsia="Calibri"/>
          <w:b/>
        </w:rPr>
        <w:t>Claim evidence is becoming a national integration priority</w:t>
      </w:r>
    </w:p>
    <w:p>
      <w:pPr/>
      <w:r>
        <w:rPr>
          <w:rFonts w:ascii="Calibri" w:hAnsi="Calibri" w:eastAsia="Calibri"/>
          <w:b/>
        </w:rPr>
        <w:t>EXTERNAL EVIDENCE.</w:t>
      </w:r>
      <w:r>
        <w:rPr>
          <w:rFonts w:ascii="Calibri" w:hAnsi="Calibri" w:eastAsia="Calibri"/>
          <w:b w:val="0"/>
        </w:rPr>
        <w:t xml:space="preserve"> On 30 July 2026, Kemenkes described a joint circular involving KPK, Kemendagri, BPJS Kesehatan, and BSSN to accelerate RME integrated with SATUSEHAT for JKN claims. The ministry connected NIK-linked RME and electronic supporting evidence to faster claims, traceability, transparency, oversight, and prevention of deviations. [E01]</w:t>
      </w:r>
    </w:p>
    <w:p>
      <w:pPr/>
      <w:r>
        <w:rPr>
          <w:rFonts w:ascii="Calibri" w:hAnsi="Calibri" w:eastAsia="Calibri"/>
          <w:b w:val="0"/>
        </w:rPr>
        <w:t>SATUSEHAT’s official claim documentation describes an end-to-end flow in which a facility registers the visit and clinical/billing resources, applies through E-Klaim, sends a signed Claim plus RME Bundle to BPJS, receives ClaimResponse, and follows up with PurificationDecision. The published resources include Account, ChargeItem, Claim, ClaimResponse, Coverage, Invoice, and PurificationDecision, plus clinical RME resources. [E02–E04]</w:t>
      </w:r>
    </w:p>
    <w:p>
      <w:pPr/>
      <w:r>
        <w:rPr>
          <w:rFonts w:ascii="Calibri" w:hAnsi="Calibri" w:eastAsia="Calibri"/>
          <w:b/>
        </w:rPr>
        <w:t>Interpretation:</w:t>
      </w:r>
      <w:r>
        <w:rPr>
          <w:rFonts w:ascii="Calibri" w:hAnsi="Calibri" w:eastAsia="Calibri"/>
          <w:b w:val="0"/>
        </w:rPr>
        <w:t xml:space="preserve"> this makes an evidence-integrity layer timely and architecturally grounded. It does </w:t>
      </w:r>
      <w:r>
        <w:rPr>
          <w:rFonts w:ascii="Calibri" w:hAnsi="Calibri" w:eastAsia="Calibri"/>
          <w:b/>
        </w:rPr>
        <w:t>not</w:t>
      </w:r>
      <w:r>
        <w:rPr>
          <w:rFonts w:ascii="Calibri" w:hAnsi="Calibri" w:eastAsia="Calibri"/>
          <w:b w:val="0"/>
        </w:rPr>
        <w:t xml:space="preserve"> prove that a public production API or competition sandbox is available.</w:t>
      </w:r>
    </w:p>
    <w:p>
      <w:pPr>
        <w:pStyle w:val="Heading2"/>
      </w:pPr>
      <w:r>
        <w:rPr>
          <w:rFonts w:ascii="Calibri" w:hAnsi="Calibri" w:eastAsia="Calibri"/>
          <w:b/>
        </w:rPr>
        <w:t>Hospital digitalization is advanced but uneven</w:t>
      </w:r>
    </w:p>
    <w:p>
      <w:pPr/>
      <w:r>
        <w:rPr>
          <w:rFonts w:ascii="Calibri" w:hAnsi="Calibri" w:eastAsia="Calibri"/>
          <w:b w:val="0"/>
        </w:rPr>
        <w:t>Kemenkes’s policy agency reported in October 2025 that 34,463 facilities were integrated with SATUSEHAT and that 3,138 of 3,239 hospitals had RME, while 495 hospitals had not implemented all six core services; infrastructure and human-resource challenges remained. [E05] Permenkes 24/2022 is the operative national medical-record regulation. [E16]</w:t>
      </w:r>
    </w:p>
    <w:p>
      <w:pPr/>
      <w:r>
        <w:rPr>
          <w:rFonts w:ascii="Calibri" w:hAnsi="Calibri" w:eastAsia="Calibri"/>
          <w:b/>
        </w:rPr>
        <w:t>Interpretation:</w:t>
      </w:r>
      <w:r>
        <w:rPr>
          <w:rFonts w:ascii="Calibri" w:hAnsi="Calibri" w:eastAsia="Calibri"/>
          <w:b w:val="0"/>
        </w:rPr>
        <w:t xml:space="preserve"> compatibility with published standards is strategic, but production assumptions must accommodate incomplete and heterogeneous data. The prototype should expose missing evidence rather than fail silently.</w:t>
      </w:r>
    </w:p>
    <w:p>
      <w:pPr>
        <w:pStyle w:val="Heading2"/>
      </w:pPr>
      <w:r>
        <w:rPr>
          <w:rFonts w:ascii="Calibri" w:hAnsi="Calibri" w:eastAsia="Calibri"/>
          <w:b/>
        </w:rPr>
        <w:t>Anti-fraud activity exists; do not pretend BPJS starts from zero</w:t>
      </w:r>
    </w:p>
    <w:p>
      <w:pPr/>
      <w:r>
        <w:rPr>
          <w:rFonts w:ascii="Calibri" w:hAnsi="Calibri" w:eastAsia="Calibri"/>
          <w:b w:val="0"/>
        </w:rPr>
        <w:t>KPK described collaboration with BPJS Kesehatan and 2023 case detection involving cataract, caesarean section, and hemodialysis claims in three hospitals across two provinces. [E08] BPJS has also publicly discussed automated checking and flagging of suspected claims, although the referenced BPJS data-portal article is commentary and explicitly not official policy. [E14]</w:t>
      </w:r>
    </w:p>
    <w:p>
      <w:pPr/>
      <w:r>
        <w:rPr>
          <w:rFonts w:ascii="Calibri" w:hAnsi="Calibri" w:eastAsia="Calibri"/>
          <w:b/>
        </w:rPr>
        <w:t>Interpretation:</w:t>
      </w:r>
      <w:r>
        <w:rPr>
          <w:rFonts w:ascii="Calibri" w:hAnsi="Calibri" w:eastAsia="Calibri"/>
          <w:b w:val="0"/>
        </w:rPr>
        <w:t xml:space="preserve"> “BPJS has no fraud detection” would be false and strategically weak. TilikKlaim must be positioned as a standards-based evidence and human-review layer that could complement existing controls—not replace unknown internal systems.</w:t>
      </w:r>
    </w:p>
    <w:p>
      <w:pPr>
        <w:pStyle w:val="Heading2"/>
      </w:pPr>
      <w:r>
        <w:rPr>
          <w:rFonts w:ascii="Calibri" w:hAnsi="Calibri" w:eastAsia="Calibri"/>
          <w:b/>
        </w:rPr>
        <w:t>Public data exists, but access and representativeness are constrained</w:t>
      </w:r>
    </w:p>
    <w:p>
      <w:pPr/>
      <w:r>
        <w:rPr>
          <w:rFonts w:ascii="Calibri" w:hAnsi="Calibri" w:eastAsia="Calibri"/>
          <w:b w:val="0"/>
        </w:rPr>
        <w:t>BPJS’s public data portal lists 75 datasets and describes a 2025 longitudinal sample spanning 2015–2024. [E09] A 2025 peer-reviewed analysis describes the JKN sample as approximately 1% of insured participants and containing participant, visit, diagnosis, referral, and tariff information. [E10] Public descriptions indicate registration, research-proposal, identity, and integrity-agreement steps; the exact competition-use license and current codebook must be confirmed before use. [E09]</w:t>
      </w:r>
    </w:p>
    <w:p>
      <w:pPr/>
      <w:r>
        <w:rPr>
          <w:rFonts w:ascii="Calibri" w:hAnsi="Calibri" w:eastAsia="Calibri"/>
          <w:b w:val="0"/>
        </w:rPr>
        <w:t>There is no public evidence that the sample contains verified fraud labels, signed SATUSEHAT claim bundles, complete RME narratives, or every field required for the four selected modes. Therefore, it cannot be the critical path.</w:t>
      </w:r>
    </w:p>
    <w:p>
      <w:pPr>
        <w:pStyle w:val="Heading2"/>
      </w:pPr>
      <w:r>
        <w:rPr>
          <w:rFonts w:ascii="Calibri" w:hAnsi="Calibri" w:eastAsia="Calibri"/>
          <w:b/>
        </w:rPr>
        <w:t>Why a hybrid, explainable method is technically defensible</w:t>
      </w:r>
    </w:p>
    <w:p>
      <w:pPr/>
      <w:r>
        <w:rPr>
          <w:rFonts w:ascii="Calibri" w:hAnsi="Calibri" w:eastAsia="Calibri"/>
          <w:b w:val="0"/>
        </w:rPr>
        <w:t>A 2025 systematic review of machine learning in healthcare claims fraud detection found persistent challenges around data quality, class imbalance, scarce labels, interpretability, and operational integration. [E19] A 2025 peer-reviewed study demonstrated an explainable unsupervised workflow intended to help investigators discover anomalous practitioners or groups rather than automatically decide fraud. [E20] A 2026 JKN-journal review describes supervised, unsupervised, and ensemble approaches across the field. [E18]</w:t>
      </w:r>
    </w:p>
    <w:p>
      <w:pPr/>
      <w:r>
        <w:rPr>
          <w:rFonts w:ascii="Calibri" w:hAnsi="Calibri" w:eastAsia="Calibri"/>
          <w:b/>
        </w:rPr>
        <w:t>Interpretation:</w:t>
      </w:r>
      <w:r>
        <w:rPr>
          <w:rFonts w:ascii="Calibri" w:hAnsi="Calibri" w:eastAsia="Calibri"/>
          <w:b w:val="0"/>
        </w:rPr>
        <w:t xml:space="preserve"> use deterministic rules for known evidence constraints and modest anomaly/similarity methods for prioritization. Complex deep models are unjustified without real, representative labels.</w:t>
      </w:r>
    </w:p>
    <w:p>
      <w:pPr>
        <w:pStyle w:val="Heading2"/>
      </w:pPr>
      <w:r>
        <w:rPr>
          <w:rFonts w:ascii="Calibri" w:hAnsi="Calibri" w:eastAsia="Calibri"/>
          <w:b/>
        </w:rPr>
        <w:t>AI governance is a first-class product requirement</w:t>
      </w:r>
    </w:p>
    <w:p>
      <w:pPr/>
      <w:r>
        <w:rPr>
          <w:rFonts w:ascii="Calibri" w:hAnsi="Calibri" w:eastAsia="Calibri"/>
          <w:b w:val="0"/>
        </w:rPr>
        <w:t>Kemenkes has publicly emphasized responsible AI governance, privacy, quality, bias management, responsibility, and human oversight, including work through its AI committee. [E17] WHO’s 2024 guidance on large multimodal models for health warns about false or biased output, automation bias, cybersecurity, and sensitive-data risks. [E21]</w:t>
      </w:r>
    </w:p>
    <w:p>
      <w:pPr/>
      <w:r>
        <w:rPr>
          <w:rFonts w:ascii="Calibri" w:hAnsi="Calibri" w:eastAsia="Calibri"/>
          <w:b/>
        </w:rPr>
        <w:t>Interpretation:</w:t>
      </w:r>
      <w:r>
        <w:rPr>
          <w:rFonts w:ascii="Calibri" w:hAnsi="Calibri" w:eastAsia="Calibri"/>
          <w:b w:val="0"/>
        </w:rPr>
        <w:t xml:space="preserve"> the strongest AI story is disciplined use. TilikKlaim should ship without an LLM in the risk decision and make any later summarizer optional, grounded, and non-authoritative.</w:t>
      </w:r>
    </w:p>
    <w:p>
      <w:pPr>
        <w:pStyle w:val="Heading2"/>
      </w:pPr>
      <w:r>
        <w:rPr>
          <w:rFonts w:ascii="Calibri" w:hAnsi="Calibri" w:eastAsia="Calibri"/>
          <w:b/>
        </w:rPr>
        <w:t>Domain limitation and compensation plan</w:t>
      </w:r>
    </w:p>
    <w:p>
      <w:pPr/>
      <w:r>
        <w:rPr>
          <w:rFonts w:ascii="Calibri" w:hAnsi="Calibri" w:eastAsia="Calibri"/>
          <w:b w:val="0"/>
        </w:rPr>
        <w:t>The team currently lacks direct access to doctors, BPJS verifiers, hospital administrators, coders, or investigators. Compensate with four controls:</w:t>
      </w:r>
    </w:p>
    <w:p>
      <w:pPr>
        <w:keepLines/>
        <w:spacing w:after="80" w:line="300" w:lineRule="auto"/>
        <w:numPr>
          <w:ilvl w:val="0"/>
          <w:numId w:val="15"/>
        </w:numPr>
      </w:pPr>
      <w:r>
        <w:rPr>
          <w:rFonts w:ascii="Calibri" w:hAnsi="Calibri" w:eastAsia="Calibri"/>
          <w:b w:val="0"/>
          <w:sz w:val="21"/>
        </w:rPr>
        <w:t>Use official mode definitions, SATUSEHAT schemas, regulations, and peer-reviewed methods as the bounded domain surface.</w:t>
      </w:r>
    </w:p>
    <w:p>
      <w:pPr>
        <w:keepLines/>
        <w:spacing w:after="80" w:line="300" w:lineRule="auto"/>
        <w:numPr>
          <w:ilvl w:val="0"/>
          <w:numId w:val="15"/>
        </w:numPr>
      </w:pPr>
      <w:r>
        <w:rPr>
          <w:rFonts w:ascii="Calibri" w:hAnsi="Calibri" w:eastAsia="Calibri"/>
          <w:b w:val="0"/>
          <w:sz w:val="21"/>
        </w:rPr>
        <w:t>Restrict the prototype to structural evidence and duplication signals that can be defined without medical-necessity adjudication.</w:t>
      </w:r>
    </w:p>
    <w:p>
      <w:pPr>
        <w:keepLines/>
        <w:spacing w:after="80" w:line="300" w:lineRule="auto"/>
        <w:numPr>
          <w:ilvl w:val="0"/>
          <w:numId w:val="15"/>
        </w:numPr>
      </w:pPr>
      <w:r>
        <w:rPr>
          <w:rFonts w:ascii="Calibri" w:hAnsi="Calibri" w:eastAsia="Calibri"/>
          <w:b w:val="0"/>
          <w:sz w:val="21"/>
        </w:rPr>
        <w:t>Maintain an assumption register and convert each clinical or workflow assumption into a validation question.</w:t>
      </w:r>
    </w:p>
    <w:p>
      <w:pPr>
        <w:keepLines/>
        <w:spacing w:after="80" w:line="300" w:lineRule="auto"/>
        <w:numPr>
          <w:ilvl w:val="0"/>
          <w:numId w:val="15"/>
        </w:numPr>
      </w:pPr>
      <w:r>
        <w:rPr>
          <w:rFonts w:ascii="Calibri" w:hAnsi="Calibri" w:eastAsia="Calibri"/>
          <w:b w:val="0"/>
          <w:sz w:val="21"/>
        </w:rPr>
        <w:t>Treat internal usability tests as interface checks only; never label them expert validation.</w:t>
      </w:r>
    </w:p>
    <w:p>
      <w:pPr>
        <w:pStyle w:val="Heading1"/>
        <w:pageBreakBefore/>
      </w:pPr>
      <w:r>
        <w:rPr>
          <w:rFonts w:ascii="Calibri" w:hAnsi="Calibri" w:eastAsia="Calibri"/>
          <w:b/>
        </w:rPr>
        <w:t>04. Opportunity Landscape</w:t>
      </w:r>
    </w:p>
    <w:p>
      <w:pPr>
        <w:pStyle w:val="Heading2"/>
      </w:pPr>
      <w:r>
        <w:rPr>
          <w:rFonts w:ascii="Calibri" w:hAnsi="Calibri" w:eastAsia="Calibri"/>
          <w:b/>
        </w:rPr>
        <w:t>Screening logic</w:t>
      </w:r>
    </w:p>
    <w:p>
      <w:pPr/>
      <w:r>
        <w:rPr>
          <w:rFonts w:ascii="Calibri" w:hAnsi="Calibri" w:eastAsia="Calibri"/>
          <w:b w:val="0"/>
        </w:rPr>
        <w:t>Each opportunity below passed a minimum seriousness test: an official mode, a plausible user, an observable signal, a buildable vertical slice, and a path to honest evaluation. Ratings are our analysis, not official BPJS scores.</w:t>
      </w:r>
    </w:p>
    <w:p>
      <w:pPr>
        <w:pStyle w:val="Heading2"/>
      </w:pPr>
      <w:r>
        <w:rPr>
          <w:rFonts w:ascii="Calibri" w:hAnsi="Calibri" w:eastAsia="Calibri"/>
          <w:b/>
        </w:rPr>
        <w:t>Opportunity matrix — facility category</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700"/>
        <w:gridCol w:w="2050"/>
        <w:gridCol w:w="1950"/>
        <w:gridCol w:w="1800"/>
        <w:gridCol w:w="1860"/>
      </w:tblGrid>
      <w:tr>
        <w:trPr>
          <w:tblHeader w:val="true"/>
        </w:trPr>
        <w:tc>
          <w:tcPr>
            <w:tcW w:type="dxa" w:w="1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ID</w:t>
            </w:r>
          </w:p>
        </w:tc>
        <w:tc>
          <w:tcPr>
            <w:tcW w:type="dxa" w:w="20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Opportunity and official mode(s)</w:t>
            </w:r>
          </w:p>
        </w:tc>
        <w:tc>
          <w:tcPr>
            <w:tcW w:type="dxa" w:w="19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User and pain</w:t>
            </w:r>
          </w:p>
        </w:tc>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Evidence/data and build approach</w:t>
            </w:r>
          </w:p>
        </w:tc>
        <w:tc>
          <w:tcPr>
            <w:tcW w:type="dxa" w:w="18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Outcome / risk profile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F1</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Claim evidence integrity graph</w:t>
            </w:r>
            <w:r>
              <w:rPr>
                <w:rFonts w:ascii="Calibri" w:hAnsi="Calibri" w:eastAsia="Calibri"/>
                <w:b w:val="0"/>
                <w:color w:val="0B2545"/>
                <w:sz w:val="14"/>
              </w:rPr>
              <w:t xml:space="preserve"> — cloning, phantom billing, repeat billing, unbundling</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Hospital casemix/anti-fraud officer must reconcile clinical and billing records before submission</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Published Claim/RME FHIR resources; synthetic bundles; rules + similarity + anomaly prioritization [E01–E04, E11]</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Measure evidence completeness, per-mode F1, false positives/100 claims, review time. Difficulty M; differentiation H; scale H; privacy M. Unknown: real field availability.</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F2</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Medication dispense-to-claim reconciliation</w:t>
            </w:r>
            <w:r>
              <w:rPr>
                <w:rFonts w:ascii="Calibri" w:hAnsi="Calibri" w:eastAsia="Calibri"/>
                <w:b w:val="0"/>
                <w:color w:val="0B2545"/>
                <w:sz w:val="14"/>
              </w:rPr>
              <w:t xml:space="preserve"> — fictitious drug/device, reduced quantity, inflated billing</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Pharmacy/casemix team cannot quickly reconcile ordered, dispensed, administered, and billed quantities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MedicationRequest/MedicationDispense/ChargeItem; synthetic medication episodes; deterministic quantity/time rules</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explainability and narrow scope. Difficulty M; differentiation H; scale H; privacy M. Unknown: administration/dispense completeness and packaging conventions.</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F3</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Referral integrity navigator</w:t>
            </w:r>
            <w:r>
              <w:rPr>
                <w:rFonts w:ascii="Calibri" w:hAnsi="Calibri" w:eastAsia="Calibri"/>
                <w:b w:val="0"/>
                <w:color w:val="0B2545"/>
                <w:sz w:val="14"/>
              </w:rPr>
              <w:t xml:space="preserve"> — improper referral, self-referral</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FKTP/referral reviewer needs to see capability, pathway, and destination conflicts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SATUSEHAT referral resources, facility capability directories if obtainable, public guidelines; rule engine + optional retrieval</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Primary-care alignment H; demo H. Difficulty M/H; clinical-policy risk H; data feasibility M. Expert validation required.</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F4</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Length-of-stay/readmission sentinel</w:t>
            </w:r>
            <w:r>
              <w:rPr>
                <w:rFonts w:ascii="Calibri" w:hAnsi="Calibri" w:eastAsia="Calibri"/>
                <w:b w:val="0"/>
                <w:color w:val="0B2545"/>
                <w:sz w:val="14"/>
              </w:rPr>
              <w:t xml:space="preserve"> — prolonged LOS, readmission</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Hospital utilization reviewer must identify outlying episodes without penalizing complex patients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Encounter/Condition/Procedure plus synthetic case mix; peer-group statistical control and survival/outlier models</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Measurable but clinical confounding is high. Difficulty M; differentiation M; scale H; governance H. Real risk adjustment unavailable.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F5</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Code-to-evidence consistency assistant</w:t>
            </w:r>
            <w:r>
              <w:rPr>
                <w:rFonts w:ascii="Calibri" w:hAnsi="Calibri" w:eastAsia="Calibri"/>
                <w:b w:val="0"/>
                <w:color w:val="0B2545"/>
                <w:sz w:val="14"/>
              </w:rPr>
              <w:t xml:space="preserve"> — upcoding, non-indicated treatment, manipulated diagnosis/procedure</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Coder/verifier needs traceable support for codes and severity</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Diagnoses/procedures/observations; rules, terminology mapping, cautious retrieval</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Fast value story but requires coding expertise and licensed references. Difficulty H; differentiation M; privacy M; false accusation risk H.</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F6</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Peer-pattern provider anomaly monitor</w:t>
            </w:r>
            <w:r>
              <w:rPr>
                <w:rFonts w:ascii="Calibri" w:hAnsi="Calibri" w:eastAsia="Calibri"/>
                <w:b w:val="0"/>
                <w:color w:val="0B2545"/>
                <w:sz w:val="14"/>
              </w:rPr>
              <w:t xml:space="preserve"> — capitation/non-capitation misuse, inflated bills</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BPJS analyst must prioritize providers whose utilization/billing differs from comparable peers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BPJS public sample may provide aggregate claims features; synthetic fallback; robust peer baselines + anomaly detection</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Scalable and measurable, but generic dashboards are common. Difficulty M; differentiation L/M; data access M/L; privacy M.</w:t>
            </w:r>
          </w:p>
        </w:tc>
      </w:tr>
    </w:tbl>
    <w:p>
      <w:pPr>
        <w:spacing w:before="0" w:after="60"/>
      </w:pPr>
    </w:p>
    <w:p>
      <w:pPr>
        <w:pStyle w:val="Heading2"/>
      </w:pPr>
      <w:r>
        <w:rPr>
          <w:rFonts w:ascii="Calibri" w:hAnsi="Calibri" w:eastAsia="Calibri"/>
          <w:b/>
        </w:rPr>
        <w:t>Opportunity matrix — participant and employer categories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700"/>
        <w:gridCol w:w="2050"/>
        <w:gridCol w:w="1950"/>
        <w:gridCol w:w="1800"/>
        <w:gridCol w:w="1860"/>
      </w:tblGrid>
      <w:tr>
        <w:trPr>
          <w:tblHeader w:val="true"/>
        </w:trPr>
        <w:tc>
          <w:tcPr>
            <w:tcW w:type="dxa" w:w="1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ID</w:t>
            </w:r>
          </w:p>
        </w:tc>
        <w:tc>
          <w:tcPr>
            <w:tcW w:type="dxa" w:w="20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Opportunity and official mode(s)</w:t>
            </w:r>
          </w:p>
        </w:tc>
        <w:tc>
          <w:tcPr>
            <w:tcW w:type="dxa" w:w="19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User and pain</w:t>
            </w:r>
          </w:p>
        </w:tc>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Evidence/data and build approach</w:t>
            </w:r>
          </w:p>
        </w:tc>
        <w:tc>
          <w:tcPr>
            <w:tcW w:type="dxa" w:w="18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Outcome / risk profile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P1</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Cross-facility identity misuse sentinel</w:t>
            </w:r>
            <w:r>
              <w:rPr>
                <w:rFonts w:ascii="Calibri" w:hAnsi="Calibri" w:eastAsia="Calibri"/>
                <w:b w:val="0"/>
                <w:color w:val="0B2545"/>
                <w:sz w:val="14"/>
              </w:rPr>
              <w:t xml:space="preserve"> — identity loan/rental/sale</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Front desk or BPJS reviewer needs signals beyond a single encounter</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Pseudonymous visit sequences, time/distance conflicts, device/biometric status if authorized; rules + behavioral anomaly</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Clear value, but BPJS already uses Mobile JKN biometric flows and FKRTL identity controls. [E15] Difficulty M; novelty L/M; privacy H; public data L.</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P2</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Drug/device misuse network view</w:t>
            </w:r>
            <w:r>
              <w:rPr>
                <w:rFonts w:ascii="Calibri" w:hAnsi="Calibri" w:eastAsia="Calibri"/>
                <w:b w:val="0"/>
                <w:color w:val="0B2545"/>
                <w:sz w:val="14"/>
              </w:rPr>
              <w:t xml:space="preserve"> — medication or medical-device misuse</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Investigator must see participant–provider–dispense networks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Claims/dispense graph; graph rules and community/outlier analysis</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Potential wow factor H; data feasibility L; health/privacy risk H; labels absent. Hard to prove responsibly.</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E1</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Workforce coverage reconciliation</w:t>
            </w:r>
            <w:r>
              <w:rPr>
                <w:rFonts w:ascii="Calibri" w:hAnsi="Calibri" w:eastAsia="Calibri"/>
                <w:b w:val="0"/>
                <w:color w:val="0B2545"/>
                <w:sz w:val="14"/>
              </w:rPr>
              <w:t xml:space="preserve"> — partial worker registration, status manipulation</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Employer compliance analyst must compare eligible workforce and registered participants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Authorized workforce/payroll/JKN rosters; entity matching + discrepancy rules</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High impact and comprehensible. Public data essentially absent; synthetic demo possible but integration unrealistic without partner. Difficulty M; data feasibility L; privacy H.</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E2</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Contribution and wage anomaly monitor</w:t>
            </w:r>
            <w:r>
              <w:rPr>
                <w:rFonts w:ascii="Calibri" w:hAnsi="Calibri" w:eastAsia="Calibri"/>
                <w:b w:val="0"/>
                <w:color w:val="0B2545"/>
                <w:sz w:val="14"/>
              </w:rPr>
              <w:t xml:space="preserve"> — underreported wages, delayed remittance, misclassification</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Compliance analyst needs to rank employers with inconsistent payroll/contribution patterns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Authorized monthly payroll, wage, employment status, contribution and remittance records; rules + temporal anomaly</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measurement and scale; no public operational data. Difficulty M; differentiation M; data feasibility L; governance H.</w:t>
            </w:r>
          </w:p>
        </w:tc>
      </w:tr>
    </w:tbl>
    <w:p>
      <w:pPr>
        <w:spacing w:before="0" w:after="60"/>
      </w:pPr>
    </w:p>
    <w:p>
      <w:pPr>
        <w:pStyle w:val="Heading2"/>
      </w:pPr>
      <w:r>
        <w:rPr>
          <w:rFonts w:ascii="Calibri" w:hAnsi="Calibri" w:eastAsia="Calibri"/>
          <w:b/>
        </w:rPr>
        <w:t>Landscape conclusion</w:t>
      </w:r>
    </w:p>
    <w:p>
      <w:pPr/>
      <w:r>
        <w:rPr>
          <w:rFonts w:ascii="Calibri" w:hAnsi="Calibri" w:eastAsia="Calibri"/>
          <w:b w:val="0"/>
        </w:rPr>
        <w:t>F1 is the best portfolio anchor because it simultaneously fits current national integration policy, published technical resources, a narrow web workflow, synthetic evaluation, and three webinar signals. F2 is an excellent narrower variant but depends on medication data completeness. F3 is the strongest backup because it pivots toward primary care and uses a similarly explainable standards-based architecture.</w:t>
      </w:r>
    </w:p>
    <w:p>
      <w:pPr>
        <w:pStyle w:val="Heading1"/>
        <w:pageBreakBefore/>
      </w:pPr>
      <w:r>
        <w:rPr>
          <w:rFonts w:ascii="Calibri" w:hAnsi="Calibri" w:eastAsia="Calibri"/>
          <w:b/>
        </w:rPr>
        <w:t>05. Candidate Solutions</w:t>
      </w:r>
    </w:p>
    <w:p>
      <w:pPr>
        <w:pStyle w:val="Heading2"/>
      </w:pPr>
      <w:r>
        <w:rPr>
          <w:rFonts w:ascii="Calibri" w:hAnsi="Calibri" w:eastAsia="Calibri"/>
          <w:b/>
        </w:rPr>
        <w:t>Shortlist</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2500"/>
        <w:gridCol w:w="2500"/>
        <w:gridCol w:w="2560"/>
      </w:tblGrid>
      <w:tr>
        <w:trPr>
          <w:tblHeader w:val="true"/>
        </w:trPr>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Rank candidate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Official category / mode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One-line product</w:t>
            </w:r>
          </w:p>
        </w:tc>
        <w:tc>
          <w:tcPr>
            <w:tcW w:type="dxa" w:w="25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Why shortlisted</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color w:val="0B2545"/>
                <w:sz w:val="16"/>
              </w:rPr>
              <w:t>A — TilikKlaim</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Facility; cloning, phantom/procedure-not-performed, repeat billing, unbundling</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Claim-to-clinical evidence graph and risk review before submission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Best evidence-policy-data-demo intersection; architecture itself is explainability.</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color w:val="0B2545"/>
                <w:sz w:val="16"/>
              </w:rPr>
              <w:t>B — RujukTepat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Facility; improper referral, self-referral</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Referral evidence and capability checker for FKTP</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Strong primary-care signal and simple workflow; domain-rule validation is the main risk.</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color w:val="0B2545"/>
                <w:sz w:val="16"/>
              </w:rPr>
              <w:t>C — RekonMed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Facility; fictitious/reduced-quantity/inflated drug/device billing</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Reconcile medication order, dispense, administration, and billed quantity</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Narrow, auditable, operationally clear; published data completeness uncertain.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color w:val="0B2545"/>
                <w:sz w:val="16"/>
              </w:rPr>
              <w:t>D — RawatWajar</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Facility; prolonged LOS, readmission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Risk-adjusted episode outlier and reviewer workflow</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Measurable and scalable; clinical confounding and fairness make prototype claims hard.</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color w:val="0B2545"/>
                <w:sz w:val="16"/>
              </w:rPr>
              <w:t>E — CakupKerja</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Employer; partial registration, wage/status manipulation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Reconcile workforce eligibility, wages, and JKN registration/contributions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Strong social and financial impact; inaccessible data makes it too hypothetical for this competition window.</w:t>
            </w:r>
          </w:p>
        </w:tc>
      </w:tr>
    </w:tbl>
    <w:p>
      <w:pPr>
        <w:spacing w:before="0" w:after="60"/>
      </w:pPr>
    </w:p>
    <w:p>
      <w:pPr>
        <w:pStyle w:val="Heading2"/>
      </w:pPr>
      <w:r>
        <w:rPr>
          <w:rFonts w:ascii="Calibri" w:hAnsi="Calibri" w:eastAsia="Calibri"/>
          <w:b/>
        </w:rPr>
        <w:t>Fit against the six official judging dimensions</w:t>
      </w:r>
    </w:p>
    <w:p>
      <w:pPr/>
      <w:r>
        <w:rPr>
          <w:rFonts w:ascii="Calibri" w:hAnsi="Calibri" w:eastAsia="Calibri"/>
          <w:b w:val="0"/>
        </w:rPr>
        <w:t>Ratings are qualitative analysis—</w:t>
      </w:r>
      <w:r>
        <w:rPr>
          <w:rFonts w:ascii="Calibri" w:hAnsi="Calibri" w:eastAsia="Calibri"/>
          <w:b/>
        </w:rPr>
        <w:t>not official scores or weights</w:t>
      </w:r>
      <w:r>
        <w:rPr>
          <w:rFonts w:ascii="Calibri" w:hAnsi="Calibri" w:eastAsia="Calibri"/>
          <w:b w:val="0"/>
        </w:rPr>
        <w:t>.</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260"/>
        <w:gridCol w:w="1680"/>
        <w:gridCol w:w="1320"/>
        <w:gridCol w:w="1320"/>
        <w:gridCol w:w="1260"/>
        <w:gridCol w:w="1260"/>
        <w:gridCol w:w="1260"/>
      </w:tblGrid>
      <w:tr>
        <w:trPr>
          <w:tblHeader w:val="true"/>
        </w:trPr>
        <w:tc>
          <w:tcPr>
            <w:tcW w:type="dxa" w:w="12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Candidate</w:t>
            </w:r>
          </w:p>
        </w:tc>
        <w:tc>
          <w:tcPr>
            <w:tcW w:type="dxa" w:w="168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Relevance</w:t>
            </w:r>
          </w:p>
        </w:tc>
        <w:tc>
          <w:tcPr>
            <w:tcW w:type="dxa" w:w="132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Innovation</w:t>
            </w:r>
          </w:p>
        </w:tc>
        <w:tc>
          <w:tcPr>
            <w:tcW w:type="dxa" w:w="132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Technology quality</w:t>
            </w:r>
          </w:p>
        </w:tc>
        <w:tc>
          <w:tcPr>
            <w:tcW w:type="dxa" w:w="12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Effectiveness/impact</w:t>
            </w:r>
          </w:p>
        </w:tc>
        <w:tc>
          <w:tcPr>
            <w:tcW w:type="dxa" w:w="12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Readiness/scale</w:t>
            </w:r>
          </w:p>
        </w:tc>
        <w:tc>
          <w:tcPr>
            <w:tcW w:type="dxa" w:w="12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Security/governance</w:t>
            </w:r>
          </w:p>
        </w:tc>
      </w:tr>
      <w:tr>
        <w:trPr>
          <w:cantSplit/>
        </w:trPr>
        <w:tc>
          <w:tcPr>
            <w:tcW w:type="dxa" w:w="12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A TilikKlaim</w:t>
            </w:r>
          </w:p>
        </w:tc>
        <w:tc>
          <w:tcPr>
            <w:tcW w:type="dxa" w:w="168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Very strong</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if evidence graph is central</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Very strong; hybrid and appropriate</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measurable offline</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published standards</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with HITL and provenance</w:t>
            </w:r>
          </w:p>
        </w:tc>
      </w:tr>
      <w:tr>
        <w:trPr>
          <w:cantSplit/>
        </w:trPr>
        <w:tc>
          <w:tcPr>
            <w:tcW w:type="dxa" w:w="12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B RujukTepat</w:t>
            </w:r>
          </w:p>
        </w:tc>
        <w:tc>
          <w:tcPr>
            <w:tcW w:type="dxa" w:w="168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but clinical rules fragile</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if pathways validated</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 directory/rule dependencies</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Medium/strong</w:t>
            </w:r>
          </w:p>
        </w:tc>
      </w:tr>
      <w:tr>
        <w:trPr>
          <w:cantSplit/>
        </w:trPr>
        <w:tc>
          <w:tcPr>
            <w:tcW w:type="dxa" w:w="12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C RekonMed</w:t>
            </w:r>
          </w:p>
        </w:tc>
        <w:tc>
          <w:tcPr>
            <w:tcW w:type="dxa" w:w="168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 deterministic</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Very strong for narrow process</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Medium/strong</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w:t>
            </w:r>
          </w:p>
        </w:tc>
      </w:tr>
      <w:tr>
        <w:trPr>
          <w:cantSplit/>
        </w:trPr>
        <w:tc>
          <w:tcPr>
            <w:tcW w:type="dxa" w:w="12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D RawatWajar</w:t>
            </w:r>
          </w:p>
        </w:tc>
        <w:tc>
          <w:tcPr>
            <w:tcW w:type="dxa" w:w="168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Medium/strong</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 confounded</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 fairness risk</w:t>
            </w:r>
          </w:p>
        </w:tc>
      </w:tr>
      <w:tr>
        <w:trPr>
          <w:cantSplit/>
        </w:trPr>
        <w:tc>
          <w:tcPr>
            <w:tcW w:type="dxa" w:w="12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E CakupKerja</w:t>
            </w:r>
          </w:p>
        </w:tc>
        <w:tc>
          <w:tcPr>
            <w:tcW w:type="dxa" w:w="168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Strong</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w:t>
            </w:r>
          </w:p>
        </w:tc>
        <w:tc>
          <w:tcPr>
            <w:tcW w:type="dxa" w:w="132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Potentially strong, currently unproved</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Weak in this window</w:t>
            </w:r>
          </w:p>
        </w:tc>
        <w:tc>
          <w:tcPr>
            <w:tcW w:type="dxa" w:w="12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Medium; high sensitivity</w:t>
            </w:r>
          </w:p>
        </w:tc>
      </w:tr>
    </w:tbl>
    <w:p>
      <w:pPr>
        <w:spacing w:before="0" w:after="60"/>
      </w:pPr>
    </w:p>
    <w:p>
      <w:pPr>
        <w:pStyle w:val="Heading1"/>
        <w:pageBreakBefore/>
      </w:pPr>
      <w:r>
        <w:rPr>
          <w:rFonts w:ascii="Calibri" w:hAnsi="Calibri" w:eastAsia="Calibri"/>
          <w:b/>
        </w:rPr>
        <w:t>06. Evaluation &amp; Red-Team Analysis</w:t>
      </w:r>
    </w:p>
    <w:p>
      <w:pPr>
        <w:pStyle w:val="Heading2"/>
      </w:pPr>
      <w:r>
        <w:rPr>
          <w:rFonts w:ascii="Calibri" w:hAnsi="Calibri" w:eastAsia="Calibri"/>
          <w:b/>
        </w:rPr>
        <w:t>Our internal strategic scoring method</w:t>
      </w:r>
    </w:p>
    <w:p>
      <w:pPr/>
      <w:r>
        <w:rPr>
          <w:rFonts w:ascii="Calibri" w:hAnsi="Calibri" w:eastAsia="Calibri"/>
          <w:b w:val="0"/>
        </w:rPr>
        <w:t xml:space="preserve">This is </w:t>
      </w:r>
      <w:r>
        <w:rPr>
          <w:rFonts w:ascii="Calibri" w:hAnsi="Calibri" w:eastAsia="Calibri"/>
          <w:b/>
        </w:rPr>
        <w:t>our method, not an official BPJS method</w:t>
      </w:r>
      <w:r>
        <w:rPr>
          <w:rFonts w:ascii="Calibri" w:hAnsi="Calibri" w:eastAsia="Calibri"/>
          <w:b w:val="0"/>
        </w:rPr>
        <w:t>. Score each criterion 1–5, multiply by the internal weight, and divide by five to obtain a 0–100 score.</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Internal criterion</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Weight</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Why it matters now</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Problem evidence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13</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Avoid a hypothetical pain point</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Differentiation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12</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Prior claim solutions exist</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Technical credibility / AI appropriateness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10</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Judges explicitly test appropriateness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Measurable impact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10</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Convert promise into proof</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Demo potential</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10</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Later stages reward clarity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Data feasibility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12</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No real JKN data without authorization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Three-person feasibility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10</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Submission is in 21 days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Scalability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7</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Show a credible JKN path</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Privacy complexity, inverse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5</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Reduce avoidable governance risk</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Webinar priority alignment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5</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Strategic multiplier only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Judge comprehensibility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4</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Value must land in 30 seconds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Wow factor without gimmicks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2</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Useful tie-breaker, never the core</w:t>
            </w:r>
          </w:p>
        </w:tc>
      </w:tr>
    </w:tbl>
    <w:p>
      <w:pPr>
        <w:spacing w:before="0" w:after="60"/>
      </w:pPr>
    </w:p>
    <w:p>
      <w:pPr>
        <w:pStyle w:val="Heading2"/>
      </w:pPr>
      <w:r>
        <w:rPr>
          <w:rFonts w:ascii="Calibri" w:hAnsi="Calibri" w:eastAsia="Calibri"/>
          <w:b/>
        </w:rPr>
        <w:t>Internal scores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Candidate</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Internal score / 100</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Decision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A TilikKlaim</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88</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Select</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C RekonMed</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80</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Retain as a possible narrower scope within A if medication fields are complete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B RujukTepat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78</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Backup solution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D RawatWajar</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69</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Do not select without clinical/risk-adjustment expertise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E CakupKerja</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62</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Do not select without authorized employer data</w:t>
            </w:r>
          </w:p>
        </w:tc>
      </w:tr>
    </w:tbl>
    <w:p>
      <w:pPr>
        <w:spacing w:before="0" w:after="60"/>
      </w:pPr>
    </w:p>
    <w:p>
      <w:pPr/>
      <w:r>
        <w:rPr>
          <w:rFonts w:ascii="Calibri" w:hAnsi="Calibri" w:eastAsia="Calibri"/>
          <w:b w:val="0"/>
        </w:rPr>
        <w:t>Scores are decisions under current evidence, not predictions of official results.</w:t>
      </w:r>
    </w:p>
    <w:p>
      <w:pPr>
        <w:pStyle w:val="Heading2"/>
      </w:pPr>
      <w:r>
        <w:rPr>
          <w:rFonts w:ascii="Calibri" w:hAnsi="Calibri" w:eastAsia="Calibri"/>
          <w:b/>
        </w:rPr>
        <w:t>Red-team: A — TilikKlaim</w:t>
      </w:r>
    </w:p>
    <w:p>
      <w:pPr>
        <w:keepLines/>
        <w:spacing w:after="80" w:line="300" w:lineRule="auto"/>
        <w:numPr>
          <w:ilvl w:val="0"/>
          <w:numId w:val="16"/>
        </w:numPr>
      </w:pPr>
      <w:r>
        <w:rPr>
          <w:rFonts w:ascii="Calibri" w:hAnsi="Calibri" w:eastAsia="Calibri"/>
          <w:b/>
          <w:sz w:val="21"/>
        </w:rPr>
        <w:t>Why it could lose:</w:t>
      </w:r>
      <w:r>
        <w:rPr>
          <w:rFonts w:ascii="Calibri" w:hAnsi="Calibri" w:eastAsia="Calibri"/>
          <w:b w:val="0"/>
          <w:sz w:val="21"/>
        </w:rPr>
        <w:t xml:space="preserve"> claim-risk screening is a common idea; judges may see “another fraud detector.”</w:t>
      </w:r>
    </w:p>
    <w:p>
      <w:pPr>
        <w:keepLines/>
        <w:spacing w:after="80" w:line="300" w:lineRule="auto"/>
        <w:numPr>
          <w:ilvl w:val="0"/>
          <w:numId w:val="16"/>
        </w:numPr>
      </w:pPr>
      <w:r>
        <w:rPr>
          <w:rFonts w:ascii="Calibri" w:hAnsi="Calibri" w:eastAsia="Calibri"/>
          <w:b/>
          <w:sz w:val="21"/>
        </w:rPr>
        <w:t>Existing overlap:</w:t>
      </w:r>
      <w:r>
        <w:rPr>
          <w:rFonts w:ascii="Calibri" w:hAnsi="Calibri" w:eastAsia="Calibri"/>
          <w:b w:val="0"/>
          <w:sz w:val="21"/>
        </w:rPr>
        <w:t xml:space="preserve"> the 2025 third-place AI solution was publicly named “PRO-CLAIM: Co-Pilot AI Validasi Klaim Anti Fraud.” [E13] Detailed overlap is not public; </w:t>
      </w:r>
      <w:r>
        <w:rPr>
          <w:rFonts w:ascii="Calibri" w:hAnsi="Calibri" w:eastAsia="Calibri"/>
          <w:b/>
          <w:sz w:val="21"/>
        </w:rPr>
        <w:t>Evidence not established</w:t>
      </w:r>
      <w:r>
        <w:rPr>
          <w:rFonts w:ascii="Calibri" w:hAnsi="Calibri" w:eastAsia="Calibri"/>
          <w:b w:val="0"/>
          <w:sz w:val="21"/>
        </w:rPr>
        <w:t>.</w:t>
      </w:r>
    </w:p>
    <w:p>
      <w:pPr>
        <w:keepLines/>
        <w:spacing w:after="80" w:line="300" w:lineRule="auto"/>
        <w:numPr>
          <w:ilvl w:val="0"/>
          <w:numId w:val="16"/>
        </w:numPr>
      </w:pPr>
      <w:r>
        <w:rPr>
          <w:rFonts w:ascii="Calibri" w:hAnsi="Calibri" w:eastAsia="Calibri"/>
          <w:b/>
          <w:sz w:val="21"/>
        </w:rPr>
        <w:t>Data failure:</w:t>
      </w:r>
      <w:r>
        <w:rPr>
          <w:rFonts w:ascii="Calibri" w:hAnsi="Calibri" w:eastAsia="Calibri"/>
          <w:b w:val="0"/>
          <w:sz w:val="21"/>
        </w:rPr>
        <w:t xml:space="preserve"> public sample data may lack RME bundles or labels; synthetic patterns may be too easy.</w:t>
      </w:r>
    </w:p>
    <w:p>
      <w:pPr>
        <w:keepLines/>
        <w:spacing w:after="80" w:line="300" w:lineRule="auto"/>
        <w:numPr>
          <w:ilvl w:val="0"/>
          <w:numId w:val="16"/>
        </w:numPr>
      </w:pPr>
      <w:r>
        <w:rPr>
          <w:rFonts w:ascii="Calibri" w:hAnsi="Calibri" w:eastAsia="Calibri"/>
          <w:b/>
          <w:sz w:val="21"/>
        </w:rPr>
        <w:t>AI necessity:</w:t>
      </w:r>
      <w:r>
        <w:rPr>
          <w:rFonts w:ascii="Calibri" w:hAnsi="Calibri" w:eastAsia="Calibri"/>
          <w:b w:val="0"/>
          <w:sz w:val="21"/>
        </w:rPr>
        <w:t xml:space="preserve"> a rules-only checker may solve most MVP cases. That is acceptable; the hybrid must prove incremental ranking value or be removed.</w:t>
      </w:r>
    </w:p>
    <w:p>
      <w:pPr>
        <w:keepLines/>
        <w:spacing w:after="80" w:line="300" w:lineRule="auto"/>
        <w:numPr>
          <w:ilvl w:val="0"/>
          <w:numId w:val="16"/>
        </w:numPr>
      </w:pPr>
      <w:r>
        <w:rPr>
          <w:rFonts w:ascii="Calibri" w:hAnsi="Calibri" w:eastAsia="Calibri"/>
          <w:b/>
          <w:sz w:val="21"/>
        </w:rPr>
        <w:t>Measurement risk:</w:t>
      </w:r>
      <w:r>
        <w:rPr>
          <w:rFonts w:ascii="Calibri" w:hAnsi="Calibri" w:eastAsia="Calibri"/>
          <w:b w:val="0"/>
          <w:sz w:val="21"/>
        </w:rPr>
        <w:t xml:space="preserve"> synthetic F1 can look impressive while saying little about real JKN.</w:t>
      </w:r>
    </w:p>
    <w:p>
      <w:pPr>
        <w:keepLines/>
        <w:spacing w:after="80" w:line="300" w:lineRule="auto"/>
        <w:numPr>
          <w:ilvl w:val="0"/>
          <w:numId w:val="16"/>
        </w:numPr>
      </w:pPr>
      <w:r>
        <w:rPr>
          <w:rFonts w:ascii="Calibri" w:hAnsi="Calibri" w:eastAsia="Calibri"/>
          <w:b/>
          <w:sz w:val="21"/>
        </w:rPr>
        <w:t>Integration risk:</w:t>
      </w:r>
      <w:r>
        <w:rPr>
          <w:rFonts w:ascii="Calibri" w:hAnsi="Calibri" w:eastAsia="Calibri"/>
          <w:b w:val="0"/>
          <w:sz w:val="21"/>
        </w:rPr>
        <w:t xml:space="preserve"> no evidence of live BPJS/E-Klaim/SATUSEHAT sandbox access.</w:t>
      </w:r>
    </w:p>
    <w:p>
      <w:pPr>
        <w:keepLines/>
        <w:spacing w:after="80" w:line="300" w:lineRule="auto"/>
        <w:numPr>
          <w:ilvl w:val="0"/>
          <w:numId w:val="16"/>
        </w:numPr>
      </w:pPr>
      <w:r>
        <w:rPr>
          <w:rFonts w:ascii="Calibri" w:hAnsi="Calibri" w:eastAsia="Calibri"/>
          <w:b/>
          <w:sz w:val="21"/>
        </w:rPr>
        <w:t>Privacy risk:</w:t>
      </w:r>
      <w:r>
        <w:rPr>
          <w:rFonts w:ascii="Calibri" w:hAnsi="Calibri" w:eastAsia="Calibri"/>
          <w:b w:val="0"/>
          <w:sz w:val="21"/>
        </w:rPr>
        <w:t xml:space="preserve"> evidence screens can expose sensitive health data and create accusation harm.</w:t>
      </w:r>
    </w:p>
    <w:p>
      <w:pPr>
        <w:keepLines/>
        <w:spacing w:after="80" w:line="300" w:lineRule="auto"/>
        <w:numPr>
          <w:ilvl w:val="0"/>
          <w:numId w:val="16"/>
        </w:numPr>
      </w:pPr>
      <w:r>
        <w:rPr>
          <w:rFonts w:ascii="Calibri" w:hAnsi="Calibri" w:eastAsia="Calibri"/>
          <w:b/>
          <w:sz w:val="21"/>
        </w:rPr>
        <w:t>Thirty-second test:</w:t>
      </w:r>
      <w:r>
        <w:rPr>
          <w:rFonts w:ascii="Calibri" w:hAnsi="Calibri" w:eastAsia="Calibri"/>
          <w:b w:val="0"/>
          <w:sz w:val="21"/>
        </w:rPr>
        <w:t xml:space="preserve"> strong if the UI shows “billed item → missing evidence”; weak if the pitch starts with model names.</w:t>
      </w:r>
    </w:p>
    <w:p>
      <w:pPr>
        <w:keepLines/>
        <w:spacing w:after="80" w:line="300" w:lineRule="auto"/>
        <w:numPr>
          <w:ilvl w:val="0"/>
          <w:numId w:val="16"/>
        </w:numPr>
      </w:pPr>
      <w:r>
        <w:rPr>
          <w:rFonts w:ascii="Calibri" w:hAnsi="Calibri" w:eastAsia="Calibri"/>
          <w:b/>
          <w:sz w:val="21"/>
        </w:rPr>
        <w:t>Copyability:</w:t>
      </w:r>
      <w:r>
        <w:rPr>
          <w:rFonts w:ascii="Calibri" w:hAnsi="Calibri" w:eastAsia="Calibri"/>
          <w:b w:val="0"/>
          <w:sz w:val="21"/>
        </w:rPr>
        <w:t xml:space="preserve"> many teams can claim anomaly detection; fewer will provide reproducible injections, explicit evidence provenance, baseline comparisons, and human dispositions.</w:t>
      </w:r>
    </w:p>
    <w:p>
      <w:pPr/>
      <w:r>
        <w:rPr>
          <w:rFonts w:ascii="Calibri" w:hAnsi="Calibri" w:eastAsia="Calibri"/>
          <w:b/>
        </w:rPr>
        <w:t>Counter-strategy:</w:t>
      </w:r>
      <w:r>
        <w:rPr>
          <w:rFonts w:ascii="Calibri" w:hAnsi="Calibri" w:eastAsia="Calibri"/>
          <w:b w:val="0"/>
        </w:rPr>
        <w:t xml:space="preserve"> lead with the traceable evidence workflow, publish the synthetic limitations, keep the core non-generative, and position integration as standards-compatible—not connected.</w:t>
      </w:r>
    </w:p>
    <w:p>
      <w:pPr>
        <w:pStyle w:val="Heading2"/>
      </w:pPr>
      <w:r>
        <w:rPr>
          <w:rFonts w:ascii="Calibri" w:hAnsi="Calibri" w:eastAsia="Calibri"/>
          <w:b/>
        </w:rPr>
        <w:t>Red-team: B — RujukTepat</w:t>
      </w:r>
    </w:p>
    <w:p>
      <w:pPr>
        <w:keepLines/>
        <w:spacing w:after="80" w:line="300" w:lineRule="auto"/>
        <w:numPr>
          <w:ilvl w:val="0"/>
          <w:numId w:val="17"/>
        </w:numPr>
      </w:pPr>
      <w:r>
        <w:rPr>
          <w:rFonts w:ascii="Calibri" w:hAnsi="Calibri" w:eastAsia="Calibri"/>
          <w:b w:val="0"/>
          <w:sz w:val="21"/>
        </w:rPr>
        <w:t>Could lose because “inappropriate referral” depends on clinical condition, capability, geography, availability, and policy exceptions.</w:t>
      </w:r>
    </w:p>
    <w:p>
      <w:pPr>
        <w:keepLines/>
        <w:spacing w:after="80" w:line="300" w:lineRule="auto"/>
        <w:numPr>
          <w:ilvl w:val="0"/>
          <w:numId w:val="17"/>
        </w:numPr>
      </w:pPr>
      <w:r>
        <w:rPr>
          <w:rFonts w:ascii="Calibri" w:hAnsi="Calibri" w:eastAsia="Calibri"/>
          <w:b w:val="0"/>
          <w:sz w:val="21"/>
        </w:rPr>
        <w:t>Existing referral systems and SATUSEHAT referral workflows already exist. [E22]</w:t>
      </w:r>
    </w:p>
    <w:p>
      <w:pPr>
        <w:keepLines/>
        <w:spacing w:after="80" w:line="300" w:lineRule="auto"/>
        <w:numPr>
          <w:ilvl w:val="0"/>
          <w:numId w:val="17"/>
        </w:numPr>
      </w:pPr>
      <w:r>
        <w:rPr>
          <w:rFonts w:ascii="Calibri" w:hAnsi="Calibri" w:eastAsia="Calibri"/>
          <w:b w:val="0"/>
          <w:sz w:val="21"/>
        </w:rPr>
        <w:t>Without verified facility capability and care-pathway data, the checker may invent policy.</w:t>
      </w:r>
    </w:p>
    <w:p>
      <w:pPr>
        <w:keepLines/>
        <w:spacing w:after="80" w:line="300" w:lineRule="auto"/>
        <w:numPr>
          <w:ilvl w:val="0"/>
          <w:numId w:val="17"/>
        </w:numPr>
      </w:pPr>
      <w:r>
        <w:rPr>
          <w:rFonts w:ascii="Calibri" w:hAnsi="Calibri" w:eastAsia="Calibri"/>
          <w:b w:val="0"/>
          <w:sz w:val="21"/>
        </w:rPr>
        <w:t>AI is not required for most rules; retrieval can hallucinate if used casually.</w:t>
      </w:r>
    </w:p>
    <w:p>
      <w:pPr>
        <w:keepLines/>
        <w:spacing w:after="80" w:line="300" w:lineRule="auto"/>
        <w:numPr>
          <w:ilvl w:val="0"/>
          <w:numId w:val="17"/>
        </w:numPr>
      </w:pPr>
      <w:r>
        <w:rPr>
          <w:rFonts w:ascii="Calibri" w:hAnsi="Calibri" w:eastAsia="Calibri"/>
          <w:b w:val="0"/>
          <w:sz w:val="21"/>
        </w:rPr>
        <w:t>Judges understand the value, but a false “inappropriate” flag can impede access to care.</w:t>
      </w:r>
    </w:p>
    <w:p>
      <w:pPr/>
      <w:r>
        <w:rPr>
          <w:rFonts w:ascii="Calibri" w:hAnsi="Calibri" w:eastAsia="Calibri"/>
          <w:b/>
        </w:rPr>
        <w:t>Counter-strategy:</w:t>
      </w:r>
      <w:r>
        <w:rPr>
          <w:rFonts w:ascii="Calibri" w:hAnsi="Calibri" w:eastAsia="Calibri"/>
          <w:b w:val="0"/>
        </w:rPr>
        <w:t xml:space="preserve"> if activated, restrict to missing/contradictory referral evidence and capability metadata; never decide medical necessity.</w:t>
      </w:r>
    </w:p>
    <w:p>
      <w:pPr>
        <w:pStyle w:val="Heading2"/>
      </w:pPr>
      <w:r>
        <w:rPr>
          <w:rFonts w:ascii="Calibri" w:hAnsi="Calibri" w:eastAsia="Calibri"/>
          <w:b/>
        </w:rPr>
        <w:t>Red-team: C — RekonMed</w:t>
      </w:r>
    </w:p>
    <w:p>
      <w:pPr>
        <w:keepLines/>
        <w:spacing w:after="80" w:line="300" w:lineRule="auto"/>
        <w:numPr>
          <w:ilvl w:val="0"/>
          <w:numId w:val="18"/>
        </w:numPr>
      </w:pPr>
      <w:r>
        <w:rPr>
          <w:rFonts w:ascii="Calibri" w:hAnsi="Calibri" w:eastAsia="Calibri"/>
          <w:b w:val="0"/>
          <w:sz w:val="21"/>
        </w:rPr>
        <w:t>Could lose if MedicationDispense and administration data are incomplete or not consistently linked.</w:t>
      </w:r>
    </w:p>
    <w:p>
      <w:pPr>
        <w:keepLines/>
        <w:spacing w:after="80" w:line="300" w:lineRule="auto"/>
        <w:numPr>
          <w:ilvl w:val="0"/>
          <w:numId w:val="18"/>
        </w:numPr>
      </w:pPr>
      <w:r>
        <w:rPr>
          <w:rFonts w:ascii="Calibri" w:hAnsi="Calibri" w:eastAsia="Calibri"/>
          <w:b w:val="0"/>
          <w:sz w:val="21"/>
        </w:rPr>
        <w:t>Quantity logic is sensitive to packaging, partial fills, substitutions, wastage, and inpatient protocols.</w:t>
      </w:r>
    </w:p>
    <w:p>
      <w:pPr>
        <w:keepLines/>
        <w:spacing w:after="80" w:line="300" w:lineRule="auto"/>
        <w:numPr>
          <w:ilvl w:val="0"/>
          <w:numId w:val="18"/>
        </w:numPr>
      </w:pPr>
      <w:r>
        <w:rPr>
          <w:rFonts w:ascii="Calibri" w:hAnsi="Calibri" w:eastAsia="Calibri"/>
          <w:b w:val="0"/>
          <w:sz w:val="21"/>
        </w:rPr>
        <w:t>It is highly specific and may appear smaller than other proposals.</w:t>
      </w:r>
    </w:p>
    <w:p>
      <w:pPr>
        <w:keepLines/>
        <w:spacing w:after="80" w:line="300" w:lineRule="auto"/>
        <w:numPr>
          <w:ilvl w:val="0"/>
          <w:numId w:val="18"/>
        </w:numPr>
      </w:pPr>
      <w:r>
        <w:rPr>
          <w:rFonts w:ascii="Calibri" w:hAnsi="Calibri" w:eastAsia="Calibri"/>
          <w:b w:val="0"/>
          <w:sz w:val="21"/>
        </w:rPr>
        <w:t>AI is barely necessary; deterministic reconciliation may be the right answer.</w:t>
      </w:r>
    </w:p>
    <w:p>
      <w:pPr/>
      <w:r>
        <w:rPr>
          <w:rFonts w:ascii="Calibri" w:hAnsi="Calibri" w:eastAsia="Calibri"/>
          <w:b/>
        </w:rPr>
        <w:t>Counter-strategy:</w:t>
      </w:r>
      <w:r>
        <w:rPr>
          <w:rFonts w:ascii="Calibri" w:hAnsi="Calibri" w:eastAsia="Calibri"/>
          <w:b w:val="0"/>
        </w:rPr>
        <w:t xml:space="preserve"> present narrowness as strength, use transparent calculations, and validate data fields before committing.</w:t>
      </w:r>
    </w:p>
    <w:p>
      <w:pPr>
        <w:pStyle w:val="Heading2"/>
      </w:pPr>
      <w:r>
        <w:rPr>
          <w:rFonts w:ascii="Calibri" w:hAnsi="Calibri" w:eastAsia="Calibri"/>
          <w:b/>
        </w:rPr>
        <w:t>Red-team: D — RawatWajar</w:t>
      </w:r>
    </w:p>
    <w:p>
      <w:pPr>
        <w:keepLines/>
        <w:spacing w:after="80" w:line="300" w:lineRule="auto"/>
        <w:numPr>
          <w:ilvl w:val="0"/>
          <w:numId w:val="19"/>
        </w:numPr>
      </w:pPr>
      <w:r>
        <w:rPr>
          <w:rFonts w:ascii="Calibri" w:hAnsi="Calibri" w:eastAsia="Calibri"/>
          <w:b w:val="0"/>
          <w:sz w:val="21"/>
        </w:rPr>
        <w:t>Could unfairly flag referral hospitals, rare cases, or patients with complications.</w:t>
      </w:r>
    </w:p>
    <w:p>
      <w:pPr>
        <w:keepLines/>
        <w:spacing w:after="80" w:line="300" w:lineRule="auto"/>
        <w:numPr>
          <w:ilvl w:val="0"/>
          <w:numId w:val="19"/>
        </w:numPr>
      </w:pPr>
      <w:r>
        <w:rPr>
          <w:rFonts w:ascii="Calibri" w:hAnsi="Calibri" w:eastAsia="Calibri"/>
          <w:b w:val="0"/>
          <w:sz w:val="21"/>
        </w:rPr>
        <w:t>Synthetic case-mix patterns are not representative of Indonesian care.</w:t>
      </w:r>
    </w:p>
    <w:p>
      <w:pPr>
        <w:keepLines/>
        <w:spacing w:after="80" w:line="300" w:lineRule="auto"/>
        <w:numPr>
          <w:ilvl w:val="0"/>
          <w:numId w:val="19"/>
        </w:numPr>
      </w:pPr>
      <w:r>
        <w:rPr>
          <w:rFonts w:ascii="Calibri" w:hAnsi="Calibri" w:eastAsia="Calibri"/>
          <w:b w:val="0"/>
          <w:sz w:val="21"/>
        </w:rPr>
        <w:t>Risk adjustment and causal interpretation require domain experts and real outcome data.</w:t>
      </w:r>
    </w:p>
    <w:p>
      <w:pPr>
        <w:keepLines/>
        <w:spacing w:after="80" w:line="300" w:lineRule="auto"/>
        <w:numPr>
          <w:ilvl w:val="0"/>
          <w:numId w:val="19"/>
        </w:numPr>
      </w:pPr>
      <w:r>
        <w:rPr>
          <w:rFonts w:ascii="Calibri" w:hAnsi="Calibri" w:eastAsia="Calibri"/>
          <w:b w:val="0"/>
          <w:sz w:val="21"/>
        </w:rPr>
        <w:t>Judges may confuse utilization review with denial automation.</w:t>
      </w:r>
    </w:p>
    <w:p>
      <w:pPr/>
      <w:r>
        <w:rPr>
          <w:rFonts w:ascii="Calibri" w:hAnsi="Calibri" w:eastAsia="Calibri"/>
          <w:b/>
        </w:rPr>
        <w:t>Counter-strategy:</w:t>
      </w:r>
      <w:r>
        <w:rPr>
          <w:rFonts w:ascii="Calibri" w:hAnsi="Calibri" w:eastAsia="Calibri"/>
          <w:b w:val="0"/>
        </w:rPr>
        <w:t xml:space="preserve"> do not select in this window.</w:t>
      </w:r>
    </w:p>
    <w:p>
      <w:pPr>
        <w:pStyle w:val="Heading2"/>
      </w:pPr>
      <w:r>
        <w:rPr>
          <w:rFonts w:ascii="Calibri" w:hAnsi="Calibri" w:eastAsia="Calibri"/>
          <w:b/>
        </w:rPr>
        <w:t>Red-team: E — CakupKerja</w:t>
      </w:r>
    </w:p>
    <w:p>
      <w:pPr>
        <w:keepLines/>
        <w:spacing w:after="80" w:line="300" w:lineRule="auto"/>
        <w:numPr>
          <w:ilvl w:val="0"/>
          <w:numId w:val="20"/>
        </w:numPr>
      </w:pPr>
      <w:r>
        <w:rPr>
          <w:rFonts w:ascii="Calibri" w:hAnsi="Calibri" w:eastAsia="Calibri"/>
          <w:b w:val="0"/>
          <w:sz w:val="21"/>
        </w:rPr>
        <w:t>No authorized worker/payroll/contribution data; the demo becomes a spreadsheet fantasy.</w:t>
      </w:r>
    </w:p>
    <w:p>
      <w:pPr>
        <w:keepLines/>
        <w:spacing w:after="80" w:line="300" w:lineRule="auto"/>
        <w:numPr>
          <w:ilvl w:val="0"/>
          <w:numId w:val="20"/>
        </w:numPr>
      </w:pPr>
      <w:r>
        <w:rPr>
          <w:rFonts w:ascii="Calibri" w:hAnsi="Calibri" w:eastAsia="Calibri"/>
          <w:b w:val="0"/>
          <w:sz w:val="21"/>
        </w:rPr>
        <w:t>Entity matching across employers and people raises high PDP risk.</w:t>
      </w:r>
    </w:p>
    <w:p>
      <w:pPr>
        <w:keepLines/>
        <w:spacing w:after="80" w:line="300" w:lineRule="auto"/>
        <w:numPr>
          <w:ilvl w:val="0"/>
          <w:numId w:val="20"/>
        </w:numPr>
      </w:pPr>
      <w:r>
        <w:rPr>
          <w:rFonts w:ascii="Calibri" w:hAnsi="Calibri" w:eastAsia="Calibri"/>
          <w:b w:val="0"/>
          <w:sz w:val="21"/>
        </w:rPr>
        <w:t>BPJS/Kemnaker integration assumptions are unverified.</w:t>
      </w:r>
    </w:p>
    <w:p>
      <w:pPr>
        <w:keepLines/>
        <w:spacing w:after="80" w:line="300" w:lineRule="auto"/>
        <w:numPr>
          <w:ilvl w:val="0"/>
          <w:numId w:val="20"/>
        </w:numPr>
      </w:pPr>
      <w:r>
        <w:rPr>
          <w:rFonts w:ascii="Calibri" w:hAnsi="Calibri" w:eastAsia="Calibri"/>
          <w:b w:val="0"/>
          <w:sz w:val="21"/>
        </w:rPr>
        <w:t>The societal impact is clear, but the prototype cannot prove operational value.</w:t>
      </w:r>
    </w:p>
    <w:p>
      <w:pPr/>
      <w:r>
        <w:rPr>
          <w:rFonts w:ascii="Calibri" w:hAnsi="Calibri" w:eastAsia="Calibri"/>
          <w:b/>
        </w:rPr>
        <w:t>Counter-strategy:</w:t>
      </w:r>
      <w:r>
        <w:rPr>
          <w:rFonts w:ascii="Calibri" w:hAnsi="Calibri" w:eastAsia="Calibri"/>
          <w:b w:val="0"/>
        </w:rPr>
        <w:t xml:space="preserve"> retain as a future partnership idea only.</w:t>
      </w:r>
    </w:p>
    <w:p>
      <w:pPr>
        <w:pStyle w:val="Heading1"/>
        <w:pageBreakBefore/>
      </w:pPr>
      <w:r>
        <w:rPr>
          <w:rFonts w:ascii="Calibri" w:hAnsi="Calibri" w:eastAsia="Calibri"/>
          <w:b/>
        </w:rPr>
        <w:t>07. Selected Solution</w:t>
      </w:r>
    </w:p>
    <w:p>
      <w:pPr>
        <w:pStyle w:val="Heading2"/>
      </w:pPr>
      <w:r>
        <w:rPr>
          <w:rFonts w:ascii="Calibri" w:hAnsi="Calibri" w:eastAsia="Calibri"/>
          <w:b/>
        </w:rPr>
        <w:t>Selection</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Decision item</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Selected answer</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Official category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color w:val="0B2545"/>
                <w:sz w:val="18"/>
              </w:rPr>
              <w:t>Efisiensi Risiko pada Fasilitas Kesehatan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Prototype modes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cloning; phantom billing / procedure billed but not evidenced; repeat billing; unbundling / fragmentation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Primary user</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Hospital casemix / anti-fraud officer conducting pre-submission review</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Secondary future user</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BPJS claim verifier using the same evidence package before payment/purification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Product maturity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Functional prototype with pilot-ready plan—not a production MVP</w:t>
            </w:r>
          </w:p>
        </w:tc>
      </w:tr>
    </w:tbl>
    <w:p>
      <w:pPr>
        <w:spacing w:before="0" w:after="60"/>
      </w:pPr>
    </w:p>
    <w:p>
      <w:pPr>
        <w:pStyle w:val="Heading2"/>
      </w:pPr>
      <w:r>
        <w:rPr>
          <w:rFonts w:ascii="Calibri" w:hAnsi="Calibri" w:eastAsia="Calibri"/>
          <w:b/>
        </w:rPr>
        <w:t>One-sentence problem statement</w:t>
      </w:r>
    </w:p>
    <w:p>
      <w:pPr/>
      <w:r>
        <w:rPr>
          <w:rFonts w:ascii="Calibri" w:hAnsi="Calibri" w:eastAsia="Calibri"/>
          <w:b w:val="0"/>
        </w:rPr>
        <w:t>Hospital claim teams lack a fast, traceable way to verify that each billed JKN claim line is supported by consistent electronic clinical evidence and to prioritize cross-record anomalies before submission.</w:t>
      </w:r>
    </w:p>
    <w:p>
      <w:pPr>
        <w:pStyle w:val="Heading2"/>
      </w:pPr>
      <w:r>
        <w:rPr>
          <w:rFonts w:ascii="Calibri" w:hAnsi="Calibri" w:eastAsia="Calibri"/>
          <w:b/>
        </w:rPr>
        <w:t>Evidence-backed urgency</w:t>
      </w:r>
    </w:p>
    <w:p>
      <w:pPr/>
      <w:r>
        <w:rPr>
          <w:rFonts w:ascii="Calibri" w:hAnsi="Calibri" w:eastAsia="Calibri"/>
          <w:b w:val="0"/>
        </w:rPr>
        <w:t>The problem is urgent because national policy is explicitly moving JKN claim management toward SATUSEHAT-integrated RME and electronic supporting evidence, while JKN operates at hundreds of millions of visits and significant financial pressure. [E01, E06] This establishes scale and timing, not national fraud loss.</w:t>
      </w:r>
    </w:p>
    <w:p>
      <w:pPr>
        <w:pStyle w:val="Heading2"/>
      </w:pPr>
      <w:r>
        <w:rPr>
          <w:rFonts w:ascii="Calibri" w:hAnsi="Calibri" w:eastAsia="Calibri"/>
          <w:b/>
        </w:rPr>
        <w:t>Proposed solution</w:t>
      </w:r>
    </w:p>
    <w:p>
      <w:pPr/>
      <w:r>
        <w:rPr>
          <w:rFonts w:ascii="Calibri" w:hAnsi="Calibri" w:eastAsia="Calibri"/>
          <w:b w:val="0"/>
        </w:rPr>
        <w:t>TilikKlaim ingests a synthetic SATUSEHAT-shaped Claim/RME bundle, validates its structure, builds evidence links, applies versioned integrity rules, computes similarity/anomaly signals, and produces a ranked review case. The detail screen shows exactly which resource, timestamp, line item, or comparison caused the signal. A human can confirm anomaly, reject the signal, request missing evidence, or escalate; the action and model/rule version are recorded.</w:t>
      </w:r>
    </w:p>
    <w:p>
      <w:pPr>
        <w:pStyle w:val="Heading2"/>
      </w:pPr>
      <w:r>
        <w:rPr>
          <w:rFonts w:ascii="Calibri" w:hAnsi="Calibri" w:eastAsia="Calibri"/>
          <w:b/>
        </w:rPr>
        <w:t>Core innovation</w:t>
      </w:r>
    </w:p>
    <w:p>
      <w:pPr/>
      <w:r>
        <w:rPr>
          <w:rFonts w:ascii="Calibri" w:hAnsi="Calibri" w:eastAsia="Calibri"/>
          <w:b w:val="0"/>
        </w:rPr>
        <w:t xml:space="preserve">The core innovation is not a new classifier. It is a </w:t>
      </w:r>
      <w:r>
        <w:rPr>
          <w:rFonts w:ascii="Calibri" w:hAnsi="Calibri" w:eastAsia="Calibri"/>
          <w:b/>
        </w:rPr>
        <w:t>claim evidence integrity layer</w:t>
      </w:r>
      <w:r>
        <w:rPr>
          <w:rFonts w:ascii="Calibri" w:hAnsi="Calibri" w:eastAsia="Calibri"/>
          <w:b w:val="0"/>
        </w:rPr>
        <w:t xml:space="preserve"> that combines:</w:t>
      </w:r>
    </w:p>
    <w:p>
      <w:pPr>
        <w:keepLines/>
        <w:spacing w:after="80" w:line="300" w:lineRule="auto"/>
        <w:numPr>
          <w:ilvl w:val="0"/>
          <w:numId w:val="21"/>
        </w:numPr>
      </w:pPr>
      <w:r>
        <w:rPr>
          <w:rFonts w:ascii="Calibri" w:hAnsi="Calibri" w:eastAsia="Calibri"/>
          <w:b w:val="0"/>
          <w:sz w:val="21"/>
        </w:rPr>
        <w:t>standards-shaped clinical and billing provenance;</w:t>
      </w:r>
    </w:p>
    <w:p>
      <w:pPr>
        <w:keepLines/>
        <w:spacing w:after="80" w:line="300" w:lineRule="auto"/>
        <w:numPr>
          <w:ilvl w:val="0"/>
          <w:numId w:val="21"/>
        </w:numPr>
      </w:pPr>
      <w:r>
        <w:rPr>
          <w:rFonts w:ascii="Calibri" w:hAnsi="Calibri" w:eastAsia="Calibri"/>
          <w:b w:val="0"/>
          <w:sz w:val="21"/>
        </w:rPr>
        <w:t>deterministic evidence tests for known modes;</w:t>
      </w:r>
    </w:p>
    <w:p>
      <w:pPr>
        <w:keepLines/>
        <w:spacing w:after="80" w:line="300" w:lineRule="auto"/>
        <w:numPr>
          <w:ilvl w:val="0"/>
          <w:numId w:val="21"/>
        </w:numPr>
      </w:pPr>
      <w:r>
        <w:rPr>
          <w:rFonts w:ascii="Calibri" w:hAnsi="Calibri" w:eastAsia="Calibri"/>
          <w:b w:val="0"/>
          <w:sz w:val="21"/>
        </w:rPr>
        <w:t>cross-claim similarity and anomaly prioritization;</w:t>
      </w:r>
    </w:p>
    <w:p>
      <w:pPr>
        <w:keepLines/>
        <w:spacing w:after="80" w:line="300" w:lineRule="auto"/>
        <w:numPr>
          <w:ilvl w:val="0"/>
          <w:numId w:val="21"/>
        </w:numPr>
      </w:pPr>
      <w:r>
        <w:rPr>
          <w:rFonts w:ascii="Calibri" w:hAnsi="Calibri" w:eastAsia="Calibri"/>
          <w:b w:val="0"/>
          <w:sz w:val="21"/>
        </w:rPr>
        <w:t>counter-evidence and uncertainty on the same screen;</w:t>
      </w:r>
    </w:p>
    <w:p>
      <w:pPr>
        <w:keepLines/>
        <w:spacing w:after="80" w:line="300" w:lineRule="auto"/>
        <w:numPr>
          <w:ilvl w:val="0"/>
          <w:numId w:val="21"/>
        </w:numPr>
      </w:pPr>
      <w:r>
        <w:rPr>
          <w:rFonts w:ascii="Calibri" w:hAnsi="Calibri" w:eastAsia="Calibri"/>
          <w:b w:val="0"/>
          <w:sz w:val="21"/>
        </w:rPr>
        <w:t>an auditable human disposition that can later create trustworthy labels.</w:t>
      </w:r>
    </w:p>
    <w:p>
      <w:pPr>
        <w:pStyle w:val="Heading2"/>
      </w:pPr>
      <w:r>
        <w:rPr>
          <w:rFonts w:ascii="Calibri" w:hAnsi="Calibri" w:eastAsia="Calibri"/>
          <w:b/>
        </w:rPr>
        <w:t>Why now, why JKN, why this team</w:t>
      </w:r>
    </w:p>
    <w:p>
      <w:pPr>
        <w:keepLines/>
        <w:spacing w:after="80" w:line="300" w:lineRule="auto"/>
        <w:numPr>
          <w:ilvl w:val="0"/>
          <w:numId w:val="22"/>
        </w:numPr>
      </w:pPr>
      <w:r>
        <w:rPr>
          <w:rFonts w:ascii="Calibri" w:hAnsi="Calibri" w:eastAsia="Calibri"/>
          <w:b/>
          <w:sz w:val="21"/>
        </w:rPr>
        <w:t>Why now:</w:t>
      </w:r>
      <w:r>
        <w:rPr>
          <w:rFonts w:ascii="Calibri" w:hAnsi="Calibri" w:eastAsia="Calibri"/>
          <w:b w:val="0"/>
          <w:sz w:val="21"/>
        </w:rPr>
        <w:t xml:space="preserve"> the July 2026 joint circular and current SATUSEHAT claim documentation create a timely standards anchor. [E01–E04]</w:t>
      </w:r>
    </w:p>
    <w:p>
      <w:pPr>
        <w:keepLines/>
        <w:spacing w:after="80" w:line="300" w:lineRule="auto"/>
        <w:numPr>
          <w:ilvl w:val="0"/>
          <w:numId w:val="22"/>
        </w:numPr>
      </w:pPr>
      <w:r>
        <w:rPr>
          <w:rFonts w:ascii="Calibri" w:hAnsi="Calibri" w:eastAsia="Calibri"/>
          <w:b/>
          <w:sz w:val="21"/>
        </w:rPr>
        <w:t>Why JKN:</w:t>
      </w:r>
      <w:r>
        <w:rPr>
          <w:rFonts w:ascii="Calibri" w:hAnsi="Calibri" w:eastAsia="Calibri"/>
          <w:b w:val="0"/>
          <w:sz w:val="21"/>
        </w:rPr>
        <w:t xml:space="preserve"> the official challenge names these modes, and JKN’s volume makes prioritization operationally valuable. [PDF-PG; E06]</w:t>
      </w:r>
    </w:p>
    <w:p>
      <w:pPr>
        <w:keepLines/>
        <w:spacing w:after="80" w:line="300" w:lineRule="auto"/>
        <w:numPr>
          <w:ilvl w:val="0"/>
          <w:numId w:val="22"/>
        </w:numPr>
      </w:pPr>
      <w:r>
        <w:rPr>
          <w:rFonts w:ascii="Calibri" w:hAnsi="Calibri" w:eastAsia="Calibri"/>
          <w:b/>
          <w:sz w:val="21"/>
        </w:rPr>
        <w:t>Why this team:</w:t>
      </w:r>
      <w:r>
        <w:rPr>
          <w:rFonts w:ascii="Calibri" w:hAnsi="Calibri" w:eastAsia="Calibri"/>
          <w:b w:val="0"/>
          <w:sz w:val="21"/>
        </w:rPr>
        <w:t xml:space="preserve"> Member 1 can build the hybrid engine and API; Member 2 can turn evidence into a usable workflow and reproducible fixtures; Member 3 can control domain claims, governance, and the proposal evidence chain.</w:t>
      </w:r>
    </w:p>
    <w:p>
      <w:pPr>
        <w:pStyle w:val="Heading2"/>
      </w:pPr>
      <w:r>
        <w:rPr>
          <w:rFonts w:ascii="Calibri" w:hAnsi="Calibri" w:eastAsia="Calibri"/>
          <w:b/>
        </w:rPr>
        <w:t>Webinar alignment</w:t>
      </w:r>
    </w:p>
    <w:p>
      <w:pPr/>
      <w:r>
        <w:rPr>
          <w:rFonts w:ascii="Calibri" w:hAnsi="Calibri" w:eastAsia="Calibri"/>
          <w:b w:val="0"/>
        </w:rPr>
        <w:t>Strong: Hospital Modernization; National Data Integration. Moderate: responsible AI Adoption, but not diagnostics. Not forced: Primary-care Enablement.</w:t>
      </w:r>
    </w:p>
    <w:p>
      <w:pPr>
        <w:pStyle w:val="Heading2"/>
      </w:pPr>
      <w:r>
        <w:rPr>
          <w:rFonts w:ascii="Calibri" w:hAnsi="Calibri" w:eastAsia="Calibri"/>
          <w:b/>
        </w:rPr>
        <w:t>Technical advantage versus common approaches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Common approach</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Limitation</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TilikKlaim response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Static rule flags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Brittle and hard to prioritize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Rules remain explicit; similarity/anomaly signals rank uncertain cases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Opaque fraud score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Weak investigation value and high accusation risk</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Every reason points to source evidence and counter-evidence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Generic LLM copilot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Plausible language can exceed evidence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LLM excluded from score; optional summaries are constrained to structured facts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Dashboard of aggregates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Shows patterns but not the claim-level proof</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Queue opens into a claim-line evidence graph and reviewer action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Fully automated rejection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Unsafe and contrary to official human-support framing</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Human-only final disposition; no automatic denial, sanction, or code change</w:t>
            </w:r>
          </w:p>
        </w:tc>
      </w:tr>
    </w:tbl>
    <w:p>
      <w:pPr>
        <w:spacing w:before="0" w:after="60"/>
      </w:pPr>
    </w:p>
    <w:p>
      <w:pPr>
        <w:pStyle w:val="Heading2"/>
      </w:pPr>
      <w:r>
        <w:rPr>
          <w:rFonts w:ascii="Calibri" w:hAnsi="Calibri" w:eastAsia="Calibri"/>
          <w:b/>
        </w:rPr>
        <w:t>Assumptions</w:t>
      </w:r>
    </w:p>
    <w:p>
      <w:pPr>
        <w:keepLines/>
        <w:spacing w:after="80" w:line="300" w:lineRule="auto"/>
        <w:numPr>
          <w:ilvl w:val="0"/>
          <w:numId w:val="23"/>
        </w:numPr>
      </w:pPr>
      <w:r>
        <w:rPr>
          <w:rFonts w:ascii="Calibri" w:hAnsi="Calibri" w:eastAsia="Calibri"/>
          <w:b w:val="0"/>
          <w:sz w:val="21"/>
        </w:rPr>
        <w:t>Published SATUSEHAT resources are sufficient to model at least three selected modes structurally.</w:t>
      </w:r>
    </w:p>
    <w:p>
      <w:pPr>
        <w:keepLines/>
        <w:spacing w:after="80" w:line="300" w:lineRule="auto"/>
        <w:numPr>
          <w:ilvl w:val="0"/>
          <w:numId w:val="23"/>
        </w:numPr>
      </w:pPr>
      <w:r>
        <w:rPr>
          <w:rFonts w:ascii="Calibri" w:hAnsi="Calibri" w:eastAsia="Calibri"/>
          <w:b w:val="0"/>
          <w:sz w:val="21"/>
        </w:rPr>
        <w:t>A hospital pre-submission workflow is acceptable to organizers as a JKN ecosystem solution.</w:t>
      </w:r>
    </w:p>
    <w:p>
      <w:pPr>
        <w:keepLines/>
        <w:spacing w:after="80" w:line="300" w:lineRule="auto"/>
        <w:numPr>
          <w:ilvl w:val="0"/>
          <w:numId w:val="23"/>
        </w:numPr>
      </w:pPr>
      <w:r>
        <w:rPr>
          <w:rFonts w:ascii="Calibri" w:hAnsi="Calibri" w:eastAsia="Calibri"/>
          <w:b w:val="0"/>
          <w:sz w:val="21"/>
        </w:rPr>
        <w:t>Synthetic FHIR plus injected patterns is acceptable when clearly disclosed.</w:t>
      </w:r>
    </w:p>
    <w:p>
      <w:pPr>
        <w:keepLines/>
        <w:spacing w:after="80" w:line="300" w:lineRule="auto"/>
        <w:numPr>
          <w:ilvl w:val="0"/>
          <w:numId w:val="23"/>
        </w:numPr>
      </w:pPr>
      <w:r>
        <w:rPr>
          <w:rFonts w:ascii="Calibri" w:hAnsi="Calibri" w:eastAsia="Calibri"/>
          <w:b w:val="0"/>
          <w:sz w:val="21"/>
        </w:rPr>
        <w:t>Reviewers value evidence traceability more than an opaque probability score.</w:t>
      </w:r>
    </w:p>
    <w:p>
      <w:pPr>
        <w:keepLines/>
        <w:spacing w:after="80" w:line="300" w:lineRule="auto"/>
        <w:numPr>
          <w:ilvl w:val="0"/>
          <w:numId w:val="23"/>
        </w:numPr>
      </w:pPr>
      <w:r>
        <w:rPr>
          <w:rFonts w:ascii="Calibri" w:hAnsi="Calibri" w:eastAsia="Calibri"/>
          <w:b w:val="0"/>
          <w:sz w:val="21"/>
        </w:rPr>
        <w:t>The team can create a stable local demo without live external connections.</w:t>
      </w:r>
    </w:p>
    <w:p>
      <w:pPr>
        <w:pStyle w:val="Heading2"/>
      </w:pPr>
      <w:r>
        <w:rPr>
          <w:rFonts w:ascii="Calibri" w:hAnsi="Calibri" w:eastAsia="Calibri"/>
          <w:b/>
        </w:rPr>
        <w:t>Main risks</w:t>
      </w:r>
    </w:p>
    <w:p>
      <w:pPr/>
      <w:r>
        <w:rPr>
          <w:rFonts w:ascii="Calibri" w:hAnsi="Calibri" w:eastAsia="Calibri"/>
          <w:b w:val="0"/>
        </w:rPr>
        <w:t>Prior-solution overlap; missing real fields; synthetic bias and leakage; inaccurate mode definitions; insufficient differentiation; and an interface that shows data without guiding action. Section 23 contains triggers and owners.</w:t>
      </w:r>
    </w:p>
    <w:p>
      <w:pPr>
        <w:pStyle w:val="Heading2"/>
      </w:pPr>
      <w:r>
        <w:rPr>
          <w:rFonts w:ascii="Calibri" w:hAnsi="Calibri" w:eastAsia="Calibri"/>
          <w:b/>
        </w:rPr>
        <w:t>Backup solution: RujukTepat</w:t>
      </w:r>
    </w:p>
    <w:p>
      <w:pPr/>
      <w:r>
        <w:rPr>
          <w:rFonts w:ascii="Calibri" w:hAnsi="Calibri" w:eastAsia="Calibri"/>
          <w:b/>
        </w:rPr>
        <w:t>Category:</w:t>
      </w:r>
      <w:r>
        <w:rPr>
          <w:rFonts w:ascii="Calibri" w:hAnsi="Calibri" w:eastAsia="Calibri"/>
          <w:b w:val="0"/>
        </w:rPr>
        <w:t xml:space="preserve"> Facility. </w:t>
      </w:r>
      <w:r>
        <w:rPr>
          <w:rFonts w:ascii="Calibri" w:hAnsi="Calibri" w:eastAsia="Calibri"/>
          <w:b/>
        </w:rPr>
        <w:t>Modes:</w:t>
      </w:r>
      <w:r>
        <w:rPr>
          <w:rFonts w:ascii="Calibri" w:hAnsi="Calibri" w:eastAsia="Calibri"/>
          <w:b w:val="0"/>
        </w:rPr>
        <w:t xml:space="preserve"> improper referral and self-referral. </w:t>
      </w:r>
      <w:r>
        <w:rPr>
          <w:rFonts w:ascii="Calibri" w:hAnsi="Calibri" w:eastAsia="Calibri"/>
          <w:b/>
        </w:rPr>
        <w:t>Concept:</w:t>
      </w:r>
      <w:r>
        <w:rPr>
          <w:rFonts w:ascii="Calibri" w:hAnsi="Calibri" w:eastAsia="Calibri"/>
          <w:b w:val="0"/>
        </w:rPr>
        <w:t xml:space="preserve"> a SATUSEHAT-shaped referral evidence checker that highlights missing clinical/referral evidence, capability mismatch, and network conflicts, then routes the case to human review. It aligns strongly with Primary-care Enablement and National Data Integration, but must avoid medical-necessity decisions without validated pathways.</w:t>
      </w:r>
    </w:p>
    <w:p>
      <w:pPr>
        <w:pStyle w:val="Heading2"/>
      </w:pPr>
      <w:r>
        <w:rPr>
          <w:rFonts w:ascii="Calibri" w:hAnsi="Calibri" w:eastAsia="Calibri"/>
          <w:b/>
        </w:rPr>
        <w:t>Kill criteria and switch rule</w:t>
      </w:r>
    </w:p>
    <w:p>
      <w:pPr/>
      <w:r>
        <w:rPr>
          <w:rFonts w:ascii="Calibri" w:hAnsi="Calibri" w:eastAsia="Calibri"/>
          <w:b w:val="0"/>
        </w:rPr>
        <w:t>Switch to RujukTepat only if a critical feasibility assumption fails—do not switch because a new idea sounds exciting.</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2500"/>
        <w:gridCol w:w="2500"/>
        <w:gridCol w:w="2560"/>
      </w:tblGrid>
      <w:tr>
        <w:trPr>
          <w:tblHeader w:val="true"/>
        </w:trPr>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Kill criterion</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Deadline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Evidence of failure</w:t>
            </w:r>
          </w:p>
        </w:tc>
        <w:tc>
          <w:tcPr>
            <w:tcW w:type="dxa" w:w="25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Action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 xml:space="preserve">Published fields cannot support at least </w:t>
            </w:r>
            <w:r>
              <w:rPr>
                <w:rFonts w:ascii="Calibri" w:hAnsi="Calibri" w:eastAsia="Calibri"/>
                <w:b/>
                <w:color w:val="0B2545"/>
                <w:sz w:val="16"/>
              </w:rPr>
              <w:t>three</w:t>
            </w:r>
            <w:r>
              <w:rPr>
                <w:rFonts w:ascii="Calibri" w:hAnsi="Calibri" w:eastAsia="Calibri"/>
                <w:b w:val="0"/>
                <w:color w:val="0B2545"/>
                <w:sz w:val="16"/>
              </w:rPr>
              <w:t xml:space="preserve"> selected modes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2 Sep, 18:00</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Schema-to-modus matrix lacks a deterministic or comparison-based observable test for three modes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Stop F1; activate RujukTepat’s missing/contradictory referral evidence scope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Synthetic generator cannot create reproducible, linked claims and labels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2 Sep, 18:00</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Fewer than 1,000 claims, broken linkage, or labels depend on hidden injector artifacts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Fix for four hours; if still blocked, switch</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Core engine cannot return reason + evidence references for three seeded cases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5 Sep, 18:00</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Only a score/dashboard exists, or evidence cannot be traced to resources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Switch or narrow to RekonMed if medication linking works</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Judges cannot distinguish the concept from a generic claim copilot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6 Sep, 12:00</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Three independent non-domain readers describe it only as “AI fraud detector/chatbot” after a 30-second pitch</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Rewrite and redesign once; if still failing, switch</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Hybrid adds no measurable value over rules-only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12 Sep, 12:00</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No gain in precision-at-review-budget, recall, or false-positive control on held-out injections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 xml:space="preserve">Keep TilikKlaim but remove ML; this is </w:t>
            </w:r>
            <w:r>
              <w:rPr>
                <w:rFonts w:ascii="Calibri" w:hAnsi="Calibri" w:eastAsia="Calibri"/>
                <w:b/>
                <w:color w:val="0B2545"/>
                <w:sz w:val="16"/>
              </w:rPr>
              <w:t>not</w:t>
            </w:r>
            <w:r>
              <w:rPr>
                <w:rFonts w:ascii="Calibri" w:hAnsi="Calibri" w:eastAsia="Calibri"/>
                <w:b w:val="0"/>
                <w:color w:val="0B2545"/>
                <w:sz w:val="16"/>
              </w:rPr>
              <w:t xml:space="preserve"> a product kill</w:t>
            </w:r>
          </w:p>
        </w:tc>
      </w:tr>
    </w:tbl>
    <w:p>
      <w:pPr>
        <w:spacing w:before="0" w:after="60"/>
      </w:pPr>
    </w:p>
    <w:p>
      <w:pPr>
        <w:pStyle w:val="Heading1"/>
        <w:pageBreakBefore/>
      </w:pPr>
      <w:r>
        <w:rPr>
          <w:rFonts w:ascii="Calibri" w:hAnsi="Calibri" w:eastAsia="Calibri"/>
          <w:b/>
        </w:rPr>
        <w:t>08. Proposal Name &amp; Positioning</w:t>
      </w:r>
    </w:p>
    <w:p>
      <w:pPr>
        <w:pStyle w:val="Heading2"/>
      </w:pPr>
      <w:r>
        <w:rPr>
          <w:rFonts w:ascii="Calibri" w:hAnsi="Calibri" w:eastAsia="Calibri"/>
          <w:b/>
        </w:rPr>
        <w:t>Naming context</w:t>
      </w:r>
    </w:p>
    <w:p>
      <w:pPr/>
      <w:r>
        <w:rPr>
          <w:rFonts w:ascii="Calibri" w:hAnsi="Calibri" w:eastAsia="Calibri"/>
          <w:b w:val="0"/>
        </w:rPr>
        <w:t xml:space="preserve">Current official terminology favors </w:t>
      </w:r>
      <w:r>
        <w:rPr>
          <w:rFonts w:ascii="Calibri" w:hAnsi="Calibri" w:eastAsia="Calibri"/>
          <w:b/>
        </w:rPr>
        <w:t>integrasi RME</w:t>
      </w:r>
      <w:r>
        <w:rPr>
          <w:rFonts w:ascii="Calibri" w:hAnsi="Calibri" w:eastAsia="Calibri"/>
          <w:b w:val="0"/>
        </w:rPr>
        <w:t xml:space="preserve">, </w:t>
      </w:r>
      <w:r>
        <w:rPr>
          <w:rFonts w:ascii="Calibri" w:hAnsi="Calibri" w:eastAsia="Calibri"/>
          <w:b/>
        </w:rPr>
        <w:t>SATUSEHAT</w:t>
      </w:r>
      <w:r>
        <w:rPr>
          <w:rFonts w:ascii="Calibri" w:hAnsi="Calibri" w:eastAsia="Calibri"/>
          <w:b w:val="0"/>
        </w:rPr>
        <w:t xml:space="preserve">, </w:t>
      </w:r>
      <w:r>
        <w:rPr>
          <w:rFonts w:ascii="Calibri" w:hAnsi="Calibri" w:eastAsia="Calibri"/>
          <w:b/>
        </w:rPr>
        <w:t>bukti pendukung elektronik</w:t>
      </w:r>
      <w:r>
        <w:rPr>
          <w:rFonts w:ascii="Calibri" w:hAnsi="Calibri" w:eastAsia="Calibri"/>
          <w:b w:val="0"/>
        </w:rPr>
        <w:t xml:space="preserve">, </w:t>
      </w:r>
      <w:r>
        <w:rPr>
          <w:rFonts w:ascii="Calibri" w:hAnsi="Calibri" w:eastAsia="Calibri"/>
          <w:b/>
        </w:rPr>
        <w:t>traceability</w:t>
      </w:r>
      <w:r>
        <w:rPr>
          <w:rFonts w:ascii="Calibri" w:hAnsi="Calibri" w:eastAsia="Calibri"/>
          <w:b w:val="0"/>
        </w:rPr>
        <w:t xml:space="preserve">, </w:t>
      </w:r>
      <w:r>
        <w:rPr>
          <w:rFonts w:ascii="Calibri" w:hAnsi="Calibri" w:eastAsia="Calibri"/>
          <w:b/>
        </w:rPr>
        <w:t>purification</w:t>
      </w:r>
      <w:r>
        <w:rPr>
          <w:rFonts w:ascii="Calibri" w:hAnsi="Calibri" w:eastAsia="Calibri"/>
          <w:b w:val="0"/>
        </w:rPr>
        <w:t xml:space="preserve">, and </w:t>
      </w:r>
      <w:r>
        <w:rPr>
          <w:rFonts w:ascii="Calibri" w:hAnsi="Calibri" w:eastAsia="Calibri"/>
          <w:b/>
        </w:rPr>
        <w:t>risk efficiency</w:t>
      </w:r>
      <w:r>
        <w:rPr>
          <w:rFonts w:ascii="Calibri" w:hAnsi="Calibri" w:eastAsia="Calibri"/>
          <w:b w:val="0"/>
        </w:rPr>
        <w:t xml:space="preserve"> rather than sensational “fraud hunter” language. [E01–E04] A name should signal careful inspection and evidence, be pronounceable in Indonesian, and avoid implying automated guilt.</w:t>
      </w:r>
    </w:p>
    <w:p>
      <w:pPr/>
      <w:r>
        <w:rPr>
          <w:rFonts w:ascii="Calibri" w:hAnsi="Calibri" w:eastAsia="Calibri"/>
          <w:b w:val="0"/>
        </w:rPr>
        <w:t>Public web searches performed on 29 August 2026 did not establish an existing healthcare product using “TilikKlaim,” “JejakKlaim,” or “BuktiKlaim.” This is not a trademark clearance. Do not spend submission-critical time on registration; perform formal checks only if the product advances.</w:t>
      </w:r>
    </w:p>
    <w:p>
      <w:pPr>
        <w:pStyle w:val="Heading2"/>
      </w:pPr>
      <w:r>
        <w:rPr>
          <w:rFonts w:ascii="Calibri" w:hAnsi="Calibri" w:eastAsia="Calibri"/>
          <w:b/>
        </w:rPr>
        <w:t>Name, title, and tagline candidates</w:t>
      </w:r>
    </w:p>
    <w:p>
      <w:pPr/>
      <w:r>
        <w:rPr>
          <w:rFonts w:ascii="Calibri" w:hAnsi="Calibri" w:eastAsia="Calibri"/>
          <w:b w:val="0"/>
        </w:rPr>
        <w:t>Scores are internal, 1–5 per dimension.</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040"/>
        <w:gridCol w:w="1040"/>
        <w:gridCol w:w="1040"/>
        <w:gridCol w:w="1040"/>
        <w:gridCol w:w="1040"/>
        <w:gridCol w:w="1040"/>
        <w:gridCol w:w="1040"/>
        <w:gridCol w:w="1040"/>
        <w:gridCol w:w="1040"/>
      </w:tblGrid>
      <w:tr>
        <w:trPr>
          <w:tblHeader w:val="true"/>
        </w:trPr>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Product name</w:t>
            </w:r>
          </w:p>
        </w:tc>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Proposal title / positioning</w:t>
            </w:r>
          </w:p>
        </w:tc>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Tagline</w:t>
            </w:r>
          </w:p>
        </w:tc>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Clarity</w:t>
            </w:r>
          </w:p>
        </w:tc>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Memory</w:t>
            </w:r>
          </w:p>
        </w:tc>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Relevance</w:t>
            </w:r>
          </w:p>
        </w:tc>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Credibility</w:t>
            </w:r>
          </w:p>
        </w:tc>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Distinctive</w:t>
            </w:r>
          </w:p>
        </w:tc>
        <w:tc>
          <w:tcPr>
            <w:tcW w:type="dxa" w:w="10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Total /25</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TilikKlaim</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Lapisan Integritas Bukti Berbasis SATUSEHAT untuk Deteksi Dini Risiko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Setiap klaim, bukti dan risikonya dapat ditelusuri.</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25</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JejakKlaim</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Penelusuran Bukti Klinis dan Billing untuk Risiko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Dari klaim ke bukti, tanpa lompatan.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24</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BuktiKlaim</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Pemeriksaan Integritas Bukti Elektronik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Bukti lengkap sebelum klaim melangkah.</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23</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KlaimTeras</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Gerbang Telaah Risiko Klaim JKN Berbasis RME</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Telaah lebih awal, keputusan tetap manusia.</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22</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SaringKlaim</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Penyaringan Risiko Klaim Berbasis Bukti</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Saring risiko, telusuri alasannya.</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3</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21</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KlaimNalar</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Analisis Konsistensi Bukti untuk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Risiko dijelaskan, bukan ditebak.</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22</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KlaimCermat</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Telaah Bukti dan Anomali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Cermat sebelum disubmit.</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3</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22</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LacakKlaim</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Penelusuran Bukti dan Duplikasi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Lacak bukti, prioritaskan telaah.</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3</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21</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SaksiKlaim</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Evidence Layer untuk Integritas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Setiap sinyal harus punya bukti.</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23</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KlaimJernih</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Transparansi Bukti dan Risiko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Bukti jernih, keputusan terkendali.</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22</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VeriJejak</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Verifikasi Jejak Elektronik Klaim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Hubungkan layanan, bukti, dan keputusan.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22</w:t>
            </w:r>
          </w:p>
        </w:tc>
      </w:tr>
      <w:tr>
        <w:trPr>
          <w:cantSplit/>
        </w:trPr>
        <w:tc>
          <w:tcPr>
            <w:tcW w:type="dxa" w:w="104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JagaKlaim</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Kontrol Integritas Klaim untuk JKN yang Berkelanjutan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Jaga bukti, jaga JKN.</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3</w:t>
            </w:r>
          </w:p>
        </w:tc>
        <w:tc>
          <w:tcPr>
            <w:tcW w:type="dxa" w:w="10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20</w:t>
            </w:r>
          </w:p>
        </w:tc>
      </w:tr>
    </w:tbl>
    <w:p>
      <w:pPr>
        <w:spacing w:before="0" w:after="60"/>
      </w:pPr>
    </w:p>
    <w:p>
      <w:pPr>
        <w:pStyle w:val="Heading2"/>
      </w:pPr>
      <w:r>
        <w:rPr>
          <w:rFonts w:ascii="Calibri" w:hAnsi="Calibri" w:eastAsia="Calibri"/>
          <w:b/>
        </w:rPr>
        <w:t>Recommendation</w:t>
      </w:r>
    </w:p>
    <w:p>
      <w:pPr>
        <w:keepLines/>
        <w:spacing w:after="80" w:line="300" w:lineRule="auto"/>
        <w:numPr>
          <w:ilvl w:val="0"/>
          <w:numId w:val="24"/>
        </w:numPr>
      </w:pPr>
      <w:r>
        <w:rPr>
          <w:rFonts w:ascii="Calibri" w:hAnsi="Calibri" w:eastAsia="Calibri"/>
          <w:b/>
          <w:sz w:val="21"/>
        </w:rPr>
        <w:t>Best overall:</w:t>
      </w:r>
      <w:r>
        <w:rPr>
          <w:rFonts w:ascii="Calibri" w:hAnsi="Calibri" w:eastAsia="Calibri"/>
          <w:b w:val="0"/>
          <w:sz w:val="21"/>
        </w:rPr>
        <w:t xml:space="preserve"> </w:t>
      </w:r>
      <w:r>
        <w:rPr>
          <w:rFonts w:ascii="Calibri" w:hAnsi="Calibri" w:eastAsia="Calibri"/>
          <w:b/>
          <w:sz w:val="21"/>
        </w:rPr>
        <w:t>TilikKlaim</w:t>
      </w:r>
      <w:r>
        <w:rPr>
          <w:rFonts w:ascii="Calibri" w:hAnsi="Calibri" w:eastAsia="Calibri"/>
          <w:b w:val="0"/>
          <w:sz w:val="21"/>
        </w:rPr>
        <w:t xml:space="preserve"> — compact, operational, and naturally expresses human inspection.</w:t>
      </w:r>
    </w:p>
    <w:p>
      <w:pPr>
        <w:keepLines/>
        <w:spacing w:after="80" w:line="300" w:lineRule="auto"/>
        <w:numPr>
          <w:ilvl w:val="0"/>
          <w:numId w:val="24"/>
        </w:numPr>
      </w:pPr>
      <w:r>
        <w:rPr>
          <w:rFonts w:ascii="Calibri" w:hAnsi="Calibri" w:eastAsia="Calibri"/>
          <w:b/>
          <w:sz w:val="21"/>
        </w:rPr>
        <w:t>Best conservative/professional:</w:t>
      </w:r>
      <w:r>
        <w:rPr>
          <w:rFonts w:ascii="Calibri" w:hAnsi="Calibri" w:eastAsia="Calibri"/>
          <w:b w:val="0"/>
          <w:sz w:val="21"/>
        </w:rPr>
        <w:t xml:space="preserve"> </w:t>
      </w:r>
      <w:r>
        <w:rPr>
          <w:rFonts w:ascii="Calibri" w:hAnsi="Calibri" w:eastAsia="Calibri"/>
          <w:b/>
          <w:sz w:val="21"/>
        </w:rPr>
        <w:t>BuktiKlaim</w:t>
      </w:r>
      <w:r>
        <w:rPr>
          <w:rFonts w:ascii="Calibri" w:hAnsi="Calibri" w:eastAsia="Calibri"/>
          <w:b w:val="0"/>
          <w:sz w:val="21"/>
        </w:rPr>
        <w:t xml:space="preserve"> — immediately clear, slightly less distinctive.</w:t>
      </w:r>
    </w:p>
    <w:p>
      <w:pPr>
        <w:keepLines/>
        <w:spacing w:after="80" w:line="300" w:lineRule="auto"/>
        <w:numPr>
          <w:ilvl w:val="0"/>
          <w:numId w:val="24"/>
        </w:numPr>
      </w:pPr>
      <w:r>
        <w:rPr>
          <w:rFonts w:ascii="Calibri" w:hAnsi="Calibri" w:eastAsia="Calibri"/>
          <w:b/>
          <w:sz w:val="21"/>
        </w:rPr>
        <w:t>Best bold/innovative:</w:t>
      </w:r>
      <w:r>
        <w:rPr>
          <w:rFonts w:ascii="Calibri" w:hAnsi="Calibri" w:eastAsia="Calibri"/>
          <w:b w:val="0"/>
          <w:sz w:val="21"/>
        </w:rPr>
        <w:t xml:space="preserve"> </w:t>
      </w:r>
      <w:r>
        <w:rPr>
          <w:rFonts w:ascii="Calibri" w:hAnsi="Calibri" w:eastAsia="Calibri"/>
          <w:b/>
          <w:sz w:val="21"/>
        </w:rPr>
        <w:t>SaksiKlaim</w:t>
      </w:r>
      <w:r>
        <w:rPr>
          <w:rFonts w:ascii="Calibri" w:hAnsi="Calibri" w:eastAsia="Calibri"/>
          <w:b w:val="0"/>
          <w:sz w:val="21"/>
        </w:rPr>
        <w:t xml:space="preserve"> — memorable evidence metaphor, but more interpretive.</w:t>
      </w:r>
    </w:p>
    <w:p>
      <w:pPr/>
      <w:r>
        <w:rPr>
          <w:rFonts w:ascii="Calibri" w:hAnsi="Calibri" w:eastAsia="Calibri"/>
          <w:b w:val="0"/>
        </w:rPr>
        <w:t>Use the full proposal title on the cover. Use “TilikKlaim” everywhere else. Do not add a forced acronym.</w:t>
      </w:r>
    </w:p>
    <w:p>
      <w:pPr>
        <w:pStyle w:val="Heading1"/>
        <w:pageBreakBefore/>
      </w:pPr>
      <w:r>
        <w:rPr>
          <w:rFonts w:ascii="Calibri" w:hAnsi="Calibri" w:eastAsia="Calibri"/>
          <w:b/>
        </w:rPr>
        <w:t>09. Data Strategy</w:t>
      </w:r>
    </w:p>
    <w:p>
      <w:pPr>
        <w:pStyle w:val="Heading2"/>
      </w:pPr>
      <w:r>
        <w:rPr>
          <w:rFonts w:ascii="Calibri" w:hAnsi="Calibri" w:eastAsia="Calibri"/>
          <w:b/>
        </w:rPr>
        <w:t>Data boundary</w:t>
      </w:r>
    </w:p>
    <w:p>
      <w:pPr/>
      <w:r>
        <w:rPr>
          <w:rFonts w:ascii="Calibri" w:hAnsi="Calibri" w:eastAsia="Calibri"/>
          <w:b w:val="0"/>
        </w:rPr>
        <w:t xml:space="preserve">The prototype must operate on </w:t>
      </w:r>
      <w:r>
        <w:rPr>
          <w:rFonts w:ascii="Calibri" w:hAnsi="Calibri" w:eastAsia="Calibri"/>
          <w:b/>
        </w:rPr>
        <w:t>synthetic data only</w:t>
      </w:r>
      <w:r>
        <w:rPr>
          <w:rFonts w:ascii="Calibri" w:hAnsi="Calibri" w:eastAsia="Calibri"/>
          <w:b w:val="0"/>
        </w:rPr>
        <w:t xml:space="preserve"> unless the organizer provides written authorization for another dataset. Public reports and aggregate statistics may support the problem statement; they do not become training records. If the BPJS public sample is approved and accessible, use it only as an optional secondary benchmark according to its terms—not as a deadline dependency.</w:t>
      </w:r>
    </w:p>
    <w:p>
      <w:pPr>
        <w:pStyle w:val="Heading2"/>
      </w:pPr>
      <w:r>
        <w:rPr>
          <w:rFonts w:ascii="Calibri" w:hAnsi="Calibri" w:eastAsia="Calibri"/>
          <w:b/>
        </w:rPr>
        <w:t>Minimum required schema</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Domain</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Minimum fields</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Purpose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Claim header</w:t>
            </w:r>
          </w:p>
        </w:tc>
        <w:tc>
          <w:tcPr>
            <w:tcW w:type="dxa" w:w="343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claim_id</w:t>
            </w:r>
            <w:r>
              <w:rPr>
                <w:rFonts w:ascii="Calibri" w:hAnsi="Calibri" w:eastAsia="Calibri"/>
                <w:b w:val="0"/>
                <w:color w:val="0B2545"/>
                <w:sz w:val="17"/>
              </w:rPr>
              <w:t xml:space="preserve">, pseudonymous </w:t>
            </w:r>
            <w:r>
              <w:rPr>
                <w:rFonts w:ascii="Consolas" w:hAnsi="Consolas" w:eastAsia="Consolas"/>
                <w:color w:val="1F4D78"/>
                <w:sz w:val="16"/>
              </w:rPr>
              <w:t>participant_id</w:t>
            </w:r>
            <w:r>
              <w:rPr>
                <w:rFonts w:ascii="Calibri" w:hAnsi="Calibri" w:eastAsia="Calibri"/>
                <w:b w:val="0"/>
                <w:color w:val="0B2545"/>
                <w:sz w:val="17"/>
              </w:rPr>
              <w:t xml:space="preserve">, </w:t>
            </w:r>
            <w:r>
              <w:rPr>
                <w:rFonts w:ascii="Consolas" w:hAnsi="Consolas" w:eastAsia="Consolas"/>
                <w:color w:val="1F4D78"/>
                <w:sz w:val="16"/>
              </w:rPr>
              <w:t>provider_id</w:t>
            </w:r>
            <w:r>
              <w:rPr>
                <w:rFonts w:ascii="Calibri" w:hAnsi="Calibri" w:eastAsia="Calibri"/>
                <w:b w:val="0"/>
                <w:color w:val="0B2545"/>
                <w:sz w:val="17"/>
              </w:rPr>
              <w:t xml:space="preserve">, </w:t>
            </w:r>
            <w:r>
              <w:rPr>
                <w:rFonts w:ascii="Consolas" w:hAnsi="Consolas" w:eastAsia="Consolas"/>
                <w:color w:val="1F4D78"/>
                <w:sz w:val="16"/>
              </w:rPr>
              <w:t>encounter_id</w:t>
            </w:r>
            <w:r>
              <w:rPr>
                <w:rFonts w:ascii="Calibri" w:hAnsi="Calibri" w:eastAsia="Calibri"/>
                <w:b w:val="0"/>
                <w:color w:val="0B2545"/>
                <w:sz w:val="17"/>
              </w:rPr>
              <w:t>, care type, submission timestamp, status, total amount, currency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Episode linkage, duplication, queue display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Claim lines</w:t>
            </w:r>
          </w:p>
        </w:tc>
        <w:tc>
          <w:tcPr>
            <w:tcW w:type="dxa" w:w="343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line_id</w:t>
            </w:r>
            <w:r>
              <w:rPr>
                <w:rFonts w:ascii="Calibri" w:hAnsi="Calibri" w:eastAsia="Calibri"/>
                <w:b w:val="0"/>
                <w:color w:val="0B2545"/>
                <w:sz w:val="17"/>
              </w:rPr>
              <w:t>, service/product code, description, quantity, unit price, line amount, service timestamp, supporting reference(s)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Evidence match and billing checks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Encounter</w:t>
            </w:r>
          </w:p>
        </w:tc>
        <w:tc>
          <w:tcPr>
            <w:tcW w:type="dxa" w:w="343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encounter_id</w:t>
            </w:r>
            <w:r>
              <w:rPr>
                <w:rFonts w:ascii="Calibri" w:hAnsi="Calibri" w:eastAsia="Calibri"/>
                <w:b w:val="0"/>
                <w:color w:val="0B2545"/>
                <w:sz w:val="17"/>
              </w:rPr>
              <w:t>, class, status, start/end, provider, location, participant token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Episode boundary, overlap, chronology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Clinical conditions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code system/code, recorded/onset time, verification status, encounter reference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Context only; not used to decide medical necessity in MVP</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Procedures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code, status, performed time, performer/location, encounter reference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Support billed procedures and detect timing conflicts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Medication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request/dispense code, status, quantity, time, encounter reference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Support billed medication lines if available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Diagnostics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ServiceRequest, Observation/DiagnosticReport code, status, effective/result time, encounter reference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Support test-related evidence without interpreting clinical values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Documents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Composition or note hash/text, author, timestamp, encounter reference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Clone/similarity detection and provenance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Billing resources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Account, ChargeItem, Invoice references and totals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Claim-line reconciliation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Provenance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resource ID, source type, last-updated, bundle hash/signature placeholder, schema version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Traceability and tamper-aware audit</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Review</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risk type, score/band, reason codes, evidence refs, reviewer disposition/reason/time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Human loop and evaluation labels</w:t>
            </w:r>
          </w:p>
        </w:tc>
      </w:tr>
    </w:tbl>
    <w:p>
      <w:pPr>
        <w:spacing w:before="0" w:after="60"/>
      </w:pPr>
    </w:p>
    <w:p>
      <w:pPr/>
      <w:r>
        <w:rPr>
          <w:rFonts w:ascii="Calibri" w:hAnsi="Calibri" w:eastAsia="Calibri"/>
          <w:b w:val="0"/>
        </w:rPr>
        <w:t>The field names above are the prototype’s internal canonical model. They must map to published SATUSEHAT FHIR resources rather than claiming to reproduce a complete production implementation. [E02–E04]</w:t>
      </w:r>
    </w:p>
    <w:p>
      <w:pPr>
        <w:pStyle w:val="Heading2"/>
      </w:pPr>
      <w:r>
        <w:rPr>
          <w:rFonts w:ascii="Calibri" w:hAnsi="Calibri" w:eastAsia="Calibri"/>
          <w:b/>
        </w:rPr>
        <w:t>Optional enrichment</w:t>
      </w:r>
    </w:p>
    <w:p>
      <w:pPr>
        <w:keepLines/>
        <w:spacing w:after="80" w:line="300" w:lineRule="auto"/>
        <w:numPr>
          <w:ilvl w:val="0"/>
          <w:numId w:val="25"/>
        </w:numPr>
      </w:pPr>
      <w:r>
        <w:rPr>
          <w:rFonts w:ascii="Calibri" w:hAnsi="Calibri" w:eastAsia="Calibri"/>
          <w:b w:val="0"/>
          <w:sz w:val="21"/>
        </w:rPr>
        <w:t>Provider peer group, ownership, class, region, and service capability—only from authorized or official sources.</w:t>
      </w:r>
    </w:p>
    <w:p>
      <w:pPr>
        <w:keepLines/>
        <w:spacing w:after="80" w:line="300" w:lineRule="auto"/>
        <w:numPr>
          <w:ilvl w:val="0"/>
          <w:numId w:val="25"/>
        </w:numPr>
      </w:pPr>
      <w:r>
        <w:rPr>
          <w:rFonts w:ascii="Calibri" w:hAnsi="Calibri" w:eastAsia="Calibri"/>
          <w:b w:val="0"/>
          <w:sz w:val="21"/>
        </w:rPr>
        <w:t>Referral and ServiceRequest links.</w:t>
      </w:r>
    </w:p>
    <w:p>
      <w:pPr>
        <w:keepLines/>
        <w:spacing w:after="80" w:line="300" w:lineRule="auto"/>
        <w:numPr>
          <w:ilvl w:val="0"/>
          <w:numId w:val="25"/>
        </w:numPr>
      </w:pPr>
      <w:r>
        <w:rPr>
          <w:rFonts w:ascii="Calibri" w:hAnsi="Calibri" w:eastAsia="Calibri"/>
          <w:b w:val="0"/>
          <w:sz w:val="21"/>
        </w:rPr>
        <w:t>Case-mix or tariff group code if legally/licensably available.</w:t>
      </w:r>
    </w:p>
    <w:p>
      <w:pPr>
        <w:keepLines/>
        <w:spacing w:after="80" w:line="300" w:lineRule="auto"/>
        <w:numPr>
          <w:ilvl w:val="0"/>
          <w:numId w:val="25"/>
        </w:numPr>
      </w:pPr>
      <w:r>
        <w:rPr>
          <w:rFonts w:ascii="Calibri" w:hAnsi="Calibri" w:eastAsia="Calibri"/>
          <w:b w:val="0"/>
          <w:sz w:val="21"/>
        </w:rPr>
        <w:t>Code-system hierarchy and synonyms for comparison.</w:t>
      </w:r>
    </w:p>
    <w:p>
      <w:pPr>
        <w:keepLines/>
        <w:spacing w:after="80" w:line="300" w:lineRule="auto"/>
        <w:numPr>
          <w:ilvl w:val="0"/>
          <w:numId w:val="25"/>
        </w:numPr>
      </w:pPr>
      <w:r>
        <w:rPr>
          <w:rFonts w:ascii="Calibri" w:hAnsi="Calibri" w:eastAsia="Calibri"/>
          <w:b w:val="0"/>
          <w:sz w:val="21"/>
        </w:rPr>
        <w:t>Historical reviewer dispositions for later supervised calibration.</w:t>
      </w:r>
    </w:p>
    <w:p>
      <w:pPr>
        <w:keepLines/>
        <w:spacing w:after="80" w:line="300" w:lineRule="auto"/>
        <w:numPr>
          <w:ilvl w:val="0"/>
          <w:numId w:val="25"/>
        </w:numPr>
      </w:pPr>
      <w:r>
        <w:rPr>
          <w:rFonts w:ascii="Calibri" w:hAnsi="Calibri" w:eastAsia="Calibri"/>
          <w:b w:val="0"/>
          <w:sz w:val="21"/>
        </w:rPr>
        <w:t>Facility calendar and operational context.</w:t>
      </w:r>
    </w:p>
    <w:p>
      <w:pPr>
        <w:pStyle w:val="Heading2"/>
      </w:pPr>
      <w:r>
        <w:rPr>
          <w:rFonts w:ascii="Calibri" w:hAnsi="Calibri" w:eastAsia="Calibri"/>
          <w:b/>
        </w:rPr>
        <w:t>Candidate public sources and limitations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2500"/>
        <w:gridCol w:w="2500"/>
        <w:gridCol w:w="2560"/>
      </w:tblGrid>
      <w:tr>
        <w:trPr>
          <w:tblHeader w:val="true"/>
        </w:trPr>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Source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Potential use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Access/license status</w:t>
            </w:r>
          </w:p>
        </w:tc>
        <w:tc>
          <w:tcPr>
            <w:tcW w:type="dxa" w:w="25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Limitation for this prototype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SATUSEHAT interoperability documentation [E02–E04]</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Schema, resource relationships, flow</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Public documentation; respect site terms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Schema—not records, labels, or live API access</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BPJS public data portal / 2025 sample [E09]</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Aggregate or claims-feature research if approved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Registration/proposal/integrity process; exact license must be confirmed</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May lack RME bundle, verified risk labels, or selected evidence fields</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DJSN monthly report [E06]</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Scale and financial-context evidence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Public report</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Aggregate only; cannot train or establish fraud impact</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Synthea [E11]</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Base synthetic FHIR records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Apache License 2.0</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US-modeled; not representative of Indonesia/JKN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BPS aggregate demographics, if used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Parameter ranges for synthetic demographics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Confirm dataset-specific terms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Aggregate localization does not make clinical pathways representative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Official code/reference systems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Validation/display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License varies; confirm before redistribution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Some coding/tariff references may be restricted or context-dependent</w:t>
            </w:r>
          </w:p>
        </w:tc>
      </w:tr>
    </w:tbl>
    <w:p>
      <w:pPr>
        <w:spacing w:before="0" w:after="60"/>
      </w:pPr>
    </w:p>
    <w:p>
      <w:pPr>
        <w:pStyle w:val="Heading2"/>
      </w:pPr>
      <w:r>
        <w:rPr>
          <w:rFonts w:ascii="Calibri" w:hAnsi="Calibri" w:eastAsia="Calibri"/>
          <w:b/>
        </w:rPr>
        <w:t>What cannot currently be obtained publicly</w:t>
      </w:r>
    </w:p>
    <w:p>
      <w:pPr/>
      <w:r>
        <w:rPr>
          <w:rFonts w:ascii="Calibri" w:hAnsi="Calibri" w:eastAsia="Calibri"/>
          <w:b w:val="0"/>
        </w:rPr>
        <w:t>Evidence is not established for public availability of:</w:t>
      </w:r>
    </w:p>
    <w:p>
      <w:pPr>
        <w:keepLines/>
        <w:spacing w:after="80" w:line="300" w:lineRule="auto"/>
        <w:numPr>
          <w:ilvl w:val="0"/>
          <w:numId w:val="26"/>
        </w:numPr>
      </w:pPr>
      <w:r>
        <w:rPr>
          <w:rFonts w:ascii="Calibri" w:hAnsi="Calibri" w:eastAsia="Calibri"/>
          <w:b w:val="0"/>
          <w:sz w:val="21"/>
        </w:rPr>
        <w:t>real signed JKN Claim + RME Bundles with complete clinical resources;</w:t>
      </w:r>
    </w:p>
    <w:p>
      <w:pPr>
        <w:keepLines/>
        <w:spacing w:after="80" w:line="300" w:lineRule="auto"/>
        <w:numPr>
          <w:ilvl w:val="0"/>
          <w:numId w:val="26"/>
        </w:numPr>
      </w:pPr>
      <w:r>
        <w:rPr>
          <w:rFonts w:ascii="Calibri" w:hAnsi="Calibri" w:eastAsia="Calibri"/>
          <w:b w:val="0"/>
          <w:sz w:val="21"/>
        </w:rPr>
        <w:t>verified case-level fraud/waste/abuse labels and reviewer outcomes;</w:t>
      </w:r>
    </w:p>
    <w:p>
      <w:pPr>
        <w:keepLines/>
        <w:spacing w:after="80" w:line="300" w:lineRule="auto"/>
        <w:numPr>
          <w:ilvl w:val="0"/>
          <w:numId w:val="26"/>
        </w:numPr>
      </w:pPr>
      <w:r>
        <w:rPr>
          <w:rFonts w:ascii="Calibri" w:hAnsi="Calibri" w:eastAsia="Calibri"/>
          <w:b w:val="0"/>
          <w:sz w:val="21"/>
        </w:rPr>
        <w:t>current BPJS rule thresholds, model features, or operational queue data;</w:t>
      </w:r>
    </w:p>
    <w:p>
      <w:pPr>
        <w:keepLines/>
        <w:spacing w:after="80" w:line="300" w:lineRule="auto"/>
        <w:numPr>
          <w:ilvl w:val="0"/>
          <w:numId w:val="26"/>
        </w:numPr>
      </w:pPr>
      <w:r>
        <w:rPr>
          <w:rFonts w:ascii="Calibri" w:hAnsi="Calibri" w:eastAsia="Calibri"/>
          <w:b w:val="0"/>
          <w:sz w:val="21"/>
        </w:rPr>
        <w:t>hospital casemix reviewer timing and false-positive costs;</w:t>
      </w:r>
    </w:p>
    <w:p>
      <w:pPr>
        <w:keepLines/>
        <w:spacing w:after="80" w:line="300" w:lineRule="auto"/>
        <w:numPr>
          <w:ilvl w:val="0"/>
          <w:numId w:val="26"/>
        </w:numPr>
      </w:pPr>
      <w:r>
        <w:rPr>
          <w:rFonts w:ascii="Calibri" w:hAnsi="Calibri" w:eastAsia="Calibri"/>
          <w:b w:val="0"/>
          <w:sz w:val="21"/>
        </w:rPr>
        <w:t>production E-Klaim/V-Klaim/SATUSEHAT sandbox credentials;</w:t>
      </w:r>
    </w:p>
    <w:p>
      <w:pPr>
        <w:keepLines/>
        <w:spacing w:after="80" w:line="300" w:lineRule="auto"/>
        <w:numPr>
          <w:ilvl w:val="0"/>
          <w:numId w:val="26"/>
        </w:numPr>
      </w:pPr>
      <w:r>
        <w:rPr>
          <w:rFonts w:ascii="Calibri" w:hAnsi="Calibri" w:eastAsia="Calibri"/>
          <w:b w:val="0"/>
          <w:sz w:val="21"/>
        </w:rPr>
        <w:t>authoritative crosswalks for every billing line and supporting clinical event;</w:t>
      </w:r>
    </w:p>
    <w:p>
      <w:pPr>
        <w:keepLines/>
        <w:spacing w:after="80" w:line="300" w:lineRule="auto"/>
        <w:numPr>
          <w:ilvl w:val="0"/>
          <w:numId w:val="26"/>
        </w:numPr>
      </w:pPr>
      <w:r>
        <w:rPr>
          <w:rFonts w:ascii="Calibri" w:hAnsi="Calibri" w:eastAsia="Calibri"/>
          <w:b w:val="0"/>
          <w:sz w:val="21"/>
        </w:rPr>
        <w:t>representative narrative notes for cloning detection.</w:t>
      </w:r>
    </w:p>
    <w:p>
      <w:pPr/>
      <w:r>
        <w:rPr>
          <w:rFonts w:ascii="Calibri" w:hAnsi="Calibri" w:eastAsia="Calibri"/>
          <w:b w:val="0"/>
        </w:rPr>
        <w:t>These gaps define the synthetic plan and the later pilot questions; they must not be hidden by confident prose.</w:t>
      </w:r>
    </w:p>
    <w:p>
      <w:pPr>
        <w:pStyle w:val="Heading2"/>
      </w:pPr>
      <w:r>
        <w:rPr>
          <w:rFonts w:ascii="Calibri" w:hAnsi="Calibri" w:eastAsia="Calibri"/>
          <w:b/>
        </w:rPr>
        <w:t>Real public evidence versus synthetic prototype data</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3900"/>
        <w:gridCol w:w="5460"/>
      </w:tblGrid>
      <w:tr>
        <w:trPr>
          <w:tblHeader w:val="true"/>
        </w:trPr>
        <w:tc>
          <w:tcPr>
            <w:tcW w:type="dxa" w:w="39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REAL PUBLIC EVIDENCE</w:t>
            </w:r>
          </w:p>
        </w:tc>
        <w:tc>
          <w:tcPr>
            <w:tcW w:type="dxa" w:w="54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SYNTHETIC PROTOTYPE DATA</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Official categories and rules</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Patient, provider, encounter, claim, and evidence records</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National policy and SATUSEHAT flow/schema</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JKN-like canonical mapping and illustrative Rupiah amounts</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JKN aggregate scale and financial context</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Injected phantom, repeat, clone, and unbundling labels</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Peer-reviewed method limitations</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Offline model metrics, timing, and case studies</w:t>
            </w:r>
          </w:p>
        </w:tc>
      </w:tr>
    </w:tbl>
    <w:p>
      <w:pPr>
        <w:spacing w:before="0" w:after="60"/>
      </w:pPr>
    </w:p>
    <w:p>
      <w:pPr/>
      <w:r>
        <w:rPr>
          <w:rFonts w:ascii="Calibri" w:hAnsi="Calibri" w:eastAsia="Calibri"/>
          <w:b w:val="0"/>
        </w:rPr>
        <w:t>No chart may mix these two columns without explicit labeling.</w:t>
      </w:r>
    </w:p>
    <w:p>
      <w:pPr>
        <w:pStyle w:val="Heading2"/>
      </w:pPr>
      <w:r>
        <w:rPr>
          <w:rFonts w:ascii="Calibri" w:hAnsi="Calibri" w:eastAsia="Calibri"/>
          <w:b/>
        </w:rPr>
        <w:t>Synthetic data plan</w:t>
      </w:r>
    </w:p>
    <w:p>
      <w:pPr>
        <w:pStyle w:val="Heading3"/>
      </w:pPr>
      <w:r>
        <w:rPr>
          <w:rFonts w:ascii="Calibri" w:hAnsi="Calibri" w:eastAsia="Calibri"/>
          <w:b/>
        </w:rPr>
        <w:t>Generator</w:t>
      </w:r>
    </w:p>
    <w:p>
      <w:pPr/>
      <w:r>
        <w:rPr>
          <w:rFonts w:ascii="Calibri" w:hAnsi="Calibri" w:eastAsia="Calibri"/>
          <w:b w:val="0"/>
        </w:rPr>
        <w:t>Use Synthea to generate privacy-safe FHIR records, then run a deterministic adapter that:</w:t>
      </w:r>
    </w:p>
    <w:p>
      <w:pPr>
        <w:keepLines/>
        <w:spacing w:after="80" w:line="300" w:lineRule="auto"/>
        <w:numPr>
          <w:ilvl w:val="0"/>
          <w:numId w:val="27"/>
        </w:numPr>
      </w:pPr>
      <w:r>
        <w:rPr>
          <w:rFonts w:ascii="Calibri" w:hAnsi="Calibri" w:eastAsia="Calibri"/>
          <w:b w:val="0"/>
          <w:sz w:val="21"/>
        </w:rPr>
        <w:t>pseudonymizes all IDs again for the demo namespace;</w:t>
      </w:r>
    </w:p>
    <w:p>
      <w:pPr>
        <w:keepLines/>
        <w:spacing w:after="80" w:line="300" w:lineRule="auto"/>
        <w:numPr>
          <w:ilvl w:val="0"/>
          <w:numId w:val="27"/>
        </w:numPr>
      </w:pPr>
      <w:r>
        <w:rPr>
          <w:rFonts w:ascii="Calibri" w:hAnsi="Calibri" w:eastAsia="Calibri"/>
          <w:b w:val="0"/>
          <w:sz w:val="21"/>
        </w:rPr>
        <w:t>selects a documented subset of FHIR resources;</w:t>
      </w:r>
    </w:p>
    <w:p>
      <w:pPr>
        <w:keepLines/>
        <w:spacing w:after="80" w:line="300" w:lineRule="auto"/>
        <w:numPr>
          <w:ilvl w:val="0"/>
          <w:numId w:val="27"/>
        </w:numPr>
      </w:pPr>
      <w:r>
        <w:rPr>
          <w:rFonts w:ascii="Calibri" w:hAnsi="Calibri" w:eastAsia="Calibri"/>
          <w:b w:val="0"/>
          <w:sz w:val="21"/>
        </w:rPr>
        <w:t>constructs synthetic Account/ChargeItem/Invoice/Claim relationships;</w:t>
      </w:r>
    </w:p>
    <w:p>
      <w:pPr>
        <w:keepLines/>
        <w:spacing w:after="80" w:line="300" w:lineRule="auto"/>
        <w:numPr>
          <w:ilvl w:val="0"/>
          <w:numId w:val="27"/>
        </w:numPr>
      </w:pPr>
      <w:r>
        <w:rPr>
          <w:rFonts w:ascii="Calibri" w:hAnsi="Calibri" w:eastAsia="Calibri"/>
          <w:b w:val="0"/>
          <w:sz w:val="21"/>
        </w:rPr>
        <w:t>creates internally consistent, illustrative billing amounts;</w:t>
      </w:r>
    </w:p>
    <w:p>
      <w:pPr>
        <w:keepLines/>
        <w:spacing w:after="80" w:line="300" w:lineRule="auto"/>
        <w:numPr>
          <w:ilvl w:val="0"/>
          <w:numId w:val="27"/>
        </w:numPr>
      </w:pPr>
      <w:r>
        <w:rPr>
          <w:rFonts w:ascii="Calibri" w:hAnsi="Calibri" w:eastAsia="Calibri"/>
          <w:b w:val="0"/>
          <w:sz w:val="21"/>
        </w:rPr>
        <w:t>injects labeled risk patterns after the clean episode is built;</w:t>
      </w:r>
    </w:p>
    <w:p>
      <w:pPr>
        <w:keepLines/>
        <w:spacing w:after="80" w:line="300" w:lineRule="auto"/>
        <w:numPr>
          <w:ilvl w:val="0"/>
          <w:numId w:val="27"/>
        </w:numPr>
      </w:pPr>
      <w:r>
        <w:rPr>
          <w:rFonts w:ascii="Calibri" w:hAnsi="Calibri" w:eastAsia="Calibri"/>
          <w:b w:val="0"/>
          <w:sz w:val="21"/>
        </w:rPr>
        <w:t>writes a machine-readable manifest with random seed, adapter version, injection type, and expected evidence.</w:t>
      </w:r>
    </w:p>
    <w:p>
      <w:pPr/>
      <w:r>
        <w:rPr>
          <w:rFonts w:ascii="Calibri" w:hAnsi="Calibri" w:eastAsia="Calibri"/>
          <w:b w:val="0"/>
        </w:rPr>
        <w:t>Synthea is Apache 2.0 and produces synthetic—not real—patient records. [E11] Its epidemiology, care pathways, and billing assumptions are not representative of JKN. The adapter must never claim otherwise.</w:t>
      </w:r>
    </w:p>
    <w:p>
      <w:pPr>
        <w:pStyle w:val="Heading3"/>
      </w:pPr>
      <w:r>
        <w:rPr>
          <w:rFonts w:ascii="Calibri" w:hAnsi="Calibri" w:eastAsia="Calibri"/>
          <w:b/>
        </w:rPr>
        <w:t>Prototype scale</w:t>
      </w:r>
    </w:p>
    <w:p>
      <w:pPr>
        <w:keepLines/>
        <w:spacing w:after="80" w:line="300" w:lineRule="auto"/>
        <w:numPr>
          <w:ilvl w:val="0"/>
          <w:numId w:val="28"/>
        </w:numPr>
      </w:pPr>
      <w:r>
        <w:rPr>
          <w:rFonts w:ascii="Calibri" w:hAnsi="Calibri" w:eastAsia="Calibri"/>
          <w:b/>
          <w:sz w:val="21"/>
        </w:rPr>
        <w:t>Minimum Gate 3:</w:t>
      </w:r>
      <w:r>
        <w:rPr>
          <w:rFonts w:ascii="Calibri" w:hAnsi="Calibri" w:eastAsia="Calibri"/>
          <w:b w:val="0"/>
          <w:sz w:val="21"/>
        </w:rPr>
        <w:t xml:space="preserve"> 1,000 claims, at least 300 participants, 8 providers, and 200 injected cases.</w:t>
      </w:r>
    </w:p>
    <w:p>
      <w:pPr>
        <w:keepLines/>
        <w:spacing w:after="80" w:line="300" w:lineRule="auto"/>
        <w:numPr>
          <w:ilvl w:val="0"/>
          <w:numId w:val="28"/>
        </w:numPr>
      </w:pPr>
      <w:r>
        <w:rPr>
          <w:rFonts w:ascii="Calibri" w:hAnsi="Calibri" w:eastAsia="Calibri"/>
          <w:b/>
          <w:sz w:val="21"/>
        </w:rPr>
        <w:t>Target evaluation set:</w:t>
      </w:r>
      <w:r>
        <w:rPr>
          <w:rFonts w:ascii="Calibri" w:hAnsi="Calibri" w:eastAsia="Calibri"/>
          <w:b w:val="0"/>
          <w:sz w:val="21"/>
        </w:rPr>
        <w:t xml:space="preserve"> 10,000 claims, at least 3,000 participants, 12–20 providers, with 1,200 injected risk cases.</w:t>
      </w:r>
    </w:p>
    <w:p>
      <w:pPr>
        <w:keepLines/>
        <w:spacing w:after="80" w:line="300" w:lineRule="auto"/>
        <w:numPr>
          <w:ilvl w:val="0"/>
          <w:numId w:val="28"/>
        </w:numPr>
      </w:pPr>
      <w:r>
        <w:rPr>
          <w:rFonts w:ascii="Calibri" w:hAnsi="Calibri" w:eastAsia="Calibri"/>
          <w:b w:val="0"/>
          <w:sz w:val="21"/>
        </w:rPr>
        <w:t>Inject approximately 300 cases of each selected mode; allow a small, documented multi-label set.</w:t>
      </w:r>
    </w:p>
    <w:p>
      <w:pPr>
        <w:keepLines/>
        <w:spacing w:after="80" w:line="300" w:lineRule="auto"/>
        <w:numPr>
          <w:ilvl w:val="0"/>
          <w:numId w:val="28"/>
        </w:numPr>
      </w:pPr>
      <w:r>
        <w:rPr>
          <w:rFonts w:ascii="Calibri" w:hAnsi="Calibri" w:eastAsia="Calibri"/>
          <w:b w:val="0"/>
          <w:sz w:val="21"/>
        </w:rPr>
        <w:t>Include five curated gold demo fixtures separate from statistical evaluation.</w:t>
      </w:r>
    </w:p>
    <w:p>
      <w:pPr/>
      <w:r>
        <w:rPr>
          <w:rFonts w:ascii="Calibri" w:hAnsi="Calibri" w:eastAsia="Calibri"/>
          <w:b w:val="0"/>
        </w:rPr>
        <w:t xml:space="preserve">The injected prevalence is a test-design choice and </w:t>
      </w:r>
      <w:r>
        <w:rPr>
          <w:rFonts w:ascii="Calibri" w:hAnsi="Calibri" w:eastAsia="Calibri"/>
          <w:b/>
        </w:rPr>
        <w:t>must not</w:t>
      </w:r>
      <w:r>
        <w:rPr>
          <w:rFonts w:ascii="Calibri" w:hAnsi="Calibri" w:eastAsia="Calibri"/>
          <w:b w:val="0"/>
        </w:rPr>
        <w:t xml:space="preserve"> be described as JKN prevalence.</w:t>
      </w:r>
    </w:p>
    <w:p>
      <w:pPr>
        <w:pStyle w:val="Heading3"/>
      </w:pPr>
      <w:r>
        <w:rPr>
          <w:rFonts w:ascii="Calibri" w:hAnsi="Calibri" w:eastAsia="Calibri"/>
          <w:b/>
        </w:rPr>
        <w:t>Normal patterns</w:t>
      </w:r>
    </w:p>
    <w:p>
      <w:pPr>
        <w:keepLines/>
        <w:spacing w:after="80" w:line="300" w:lineRule="auto"/>
        <w:numPr>
          <w:ilvl w:val="0"/>
          <w:numId w:val="29"/>
        </w:numPr>
      </w:pPr>
      <w:r>
        <w:rPr>
          <w:rFonts w:ascii="Calibri" w:hAnsi="Calibri" w:eastAsia="Calibri"/>
          <w:b w:val="0"/>
          <w:sz w:val="21"/>
        </w:rPr>
        <w:t>Every billed procedure has one completed Procedure with compatible encounter and time.</w:t>
      </w:r>
    </w:p>
    <w:p>
      <w:pPr>
        <w:keepLines/>
        <w:spacing w:after="80" w:line="300" w:lineRule="auto"/>
        <w:numPr>
          <w:ilvl w:val="0"/>
          <w:numId w:val="29"/>
        </w:numPr>
      </w:pPr>
      <w:r>
        <w:rPr>
          <w:rFonts w:ascii="Calibri" w:hAnsi="Calibri" w:eastAsia="Calibri"/>
          <w:b w:val="0"/>
          <w:sz w:val="21"/>
        </w:rPr>
        <w:t>Claim totals equal the sum of line amounts within rounding tolerance.</w:t>
      </w:r>
    </w:p>
    <w:p>
      <w:pPr>
        <w:keepLines/>
        <w:spacing w:after="80" w:line="300" w:lineRule="auto"/>
        <w:numPr>
          <w:ilvl w:val="0"/>
          <w:numId w:val="29"/>
        </w:numPr>
      </w:pPr>
      <w:r>
        <w:rPr>
          <w:rFonts w:ascii="Calibri" w:hAnsi="Calibri" w:eastAsia="Calibri"/>
          <w:b w:val="0"/>
          <w:sz w:val="21"/>
        </w:rPr>
        <w:t>Evidence events occur within plausible encounter windows.</w:t>
      </w:r>
    </w:p>
    <w:p>
      <w:pPr>
        <w:keepLines/>
        <w:spacing w:after="80" w:line="300" w:lineRule="auto"/>
        <w:numPr>
          <w:ilvl w:val="0"/>
          <w:numId w:val="29"/>
        </w:numPr>
      </w:pPr>
      <w:r>
        <w:rPr>
          <w:rFonts w:ascii="Calibri" w:hAnsi="Calibri" w:eastAsia="Calibri"/>
          <w:b w:val="0"/>
          <w:sz w:val="21"/>
        </w:rPr>
        <w:t>Each claim belongs to one episode unless a documented follow-up relationship exists.</w:t>
      </w:r>
    </w:p>
    <w:p>
      <w:pPr>
        <w:keepLines/>
        <w:spacing w:after="80" w:line="300" w:lineRule="auto"/>
        <w:numPr>
          <w:ilvl w:val="0"/>
          <w:numId w:val="29"/>
        </w:numPr>
      </w:pPr>
      <w:r>
        <w:rPr>
          <w:rFonts w:ascii="Calibri" w:hAnsi="Calibri" w:eastAsia="Calibri"/>
          <w:b w:val="0"/>
          <w:sz w:val="21"/>
        </w:rPr>
        <w:t>Notes and service sequences vary across encounters.</w:t>
      </w:r>
    </w:p>
    <w:p>
      <w:pPr>
        <w:pStyle w:val="Heading3"/>
      </w:pPr>
      <w:r>
        <w:rPr>
          <w:rFonts w:ascii="Calibri" w:hAnsi="Calibri" w:eastAsia="Calibri"/>
          <w:b/>
        </w:rPr>
        <w:t>Injected patterns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Risk label</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Synthetic mutation</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Expected evidence shown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PHANTOM_OR_NO_PROCEDURE_EVIDENCE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Add a billed procedure or drug line without a completed matching Procedure/Dispense event; or mark evidence as entered-in-error</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Unsupported line, absent/invalid supporting reference, expected resource type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REPEAT_BILLING</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Create a second claim for the same participant/provider/episode with overlapping lines; change IDs and small non-material fields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Candidate pair, overlap window, matching lines/amounts, differing fields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CLONED_DOCUMENTATION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Copy or lightly alter narrative/service sequence across different participants or encounters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Similarity score, matched fragments or n-gram features, distinct record IDs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UNBUNDLING_FRAGMENTATION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Split a coherent episode’s services into temporally adjacent claims or billable groups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Episode timeline, shared context, split amounts, linking signals</w:t>
            </w:r>
          </w:p>
        </w:tc>
      </w:tr>
    </w:tbl>
    <w:p>
      <w:pPr>
        <w:spacing w:before="0" w:after="60"/>
      </w:pPr>
    </w:p>
    <w:p>
      <w:pPr>
        <w:pStyle w:val="Heading3"/>
      </w:pPr>
      <w:r>
        <w:rPr>
          <w:rFonts w:ascii="Calibri" w:hAnsi="Calibri" w:eastAsia="Calibri"/>
          <w:b/>
        </w:rPr>
        <w:t>Labels</w:t>
      </w:r>
    </w:p>
    <w:p>
      <w:pPr/>
      <w:r>
        <w:rPr>
          <w:rFonts w:ascii="Calibri" w:hAnsi="Calibri" w:eastAsia="Calibri"/>
          <w:b w:val="0"/>
        </w:rPr>
        <w:t xml:space="preserve">Labels are </w:t>
      </w:r>
      <w:r>
        <w:rPr>
          <w:rFonts w:ascii="Calibri" w:hAnsi="Calibri" w:eastAsia="Calibri"/>
          <w:b/>
        </w:rPr>
        <w:t>injection-ground-truth labels</w:t>
      </w:r>
      <w:r>
        <w:rPr>
          <w:rFonts w:ascii="Calibri" w:hAnsi="Calibri" w:eastAsia="Calibri"/>
          <w:b w:val="0"/>
        </w:rPr>
        <w:t>, not fraud labels. Store:</w:t>
      </w:r>
    </w:p>
    <w:p>
      <w:pPr>
        <w:keepLines/>
        <w:spacing w:after="80" w:line="300" w:lineRule="auto"/>
        <w:numPr>
          <w:ilvl w:val="0"/>
          <w:numId w:val="30"/>
        </w:numPr>
      </w:pPr>
      <w:r>
        <w:rPr>
          <w:rFonts w:ascii="Consolas" w:hAnsi="Consolas" w:eastAsia="Consolas"/>
          <w:color w:val="1F4D78"/>
          <w:sz w:val="20"/>
        </w:rPr>
        <w:t>injection_id</w:t>
      </w:r>
      <w:r>
        <w:rPr>
          <w:rFonts w:ascii="Calibri" w:hAnsi="Calibri" w:eastAsia="Calibri"/>
          <w:b w:val="0"/>
          <w:sz w:val="21"/>
        </w:rPr>
        <w:t>, type, source clean record, target record(s), injector version, random seed;</w:t>
      </w:r>
    </w:p>
    <w:p>
      <w:pPr>
        <w:keepLines/>
        <w:spacing w:after="80" w:line="300" w:lineRule="auto"/>
        <w:numPr>
          <w:ilvl w:val="0"/>
          <w:numId w:val="30"/>
        </w:numPr>
      </w:pPr>
      <w:r>
        <w:rPr>
          <w:rFonts w:ascii="Calibri" w:hAnsi="Calibri" w:eastAsia="Calibri"/>
          <w:b w:val="0"/>
          <w:sz w:val="21"/>
        </w:rPr>
        <w:t>expected violated invariants and evidence references;</w:t>
      </w:r>
    </w:p>
    <w:p>
      <w:pPr>
        <w:keepLines/>
        <w:spacing w:after="80" w:line="300" w:lineRule="auto"/>
        <w:numPr>
          <w:ilvl w:val="0"/>
          <w:numId w:val="30"/>
        </w:numPr>
      </w:pPr>
      <w:r>
        <w:rPr>
          <w:rFonts w:ascii="Calibri" w:hAnsi="Calibri" w:eastAsia="Calibri"/>
          <w:b w:val="0"/>
          <w:sz w:val="21"/>
        </w:rPr>
        <w:t>difficulty level: obvious, moderate, subtle;</w:t>
      </w:r>
    </w:p>
    <w:p>
      <w:pPr>
        <w:keepLines/>
        <w:spacing w:after="80" w:line="300" w:lineRule="auto"/>
        <w:numPr>
          <w:ilvl w:val="0"/>
          <w:numId w:val="30"/>
        </w:numPr>
      </w:pPr>
      <w:r>
        <w:rPr>
          <w:rFonts w:ascii="Calibri" w:hAnsi="Calibri" w:eastAsia="Calibri"/>
          <w:b w:val="0"/>
          <w:sz w:val="21"/>
        </w:rPr>
        <w:t>multi-label status;</w:t>
      </w:r>
    </w:p>
    <w:p>
      <w:pPr>
        <w:keepLines/>
        <w:spacing w:after="80" w:line="300" w:lineRule="auto"/>
        <w:numPr>
          <w:ilvl w:val="0"/>
          <w:numId w:val="30"/>
        </w:numPr>
      </w:pPr>
      <w:r>
        <w:rPr>
          <w:rFonts w:ascii="Calibri" w:hAnsi="Calibri" w:eastAsia="Calibri"/>
          <w:b w:val="0"/>
          <w:sz w:val="21"/>
        </w:rPr>
        <w:t>a flag that excludes injector-only metadata from model features.</w:t>
      </w:r>
    </w:p>
    <w:p>
      <w:pPr>
        <w:pStyle w:val="Heading3"/>
      </w:pPr>
      <w:r>
        <w:rPr>
          <w:rFonts w:ascii="Calibri" w:hAnsi="Calibri" w:eastAsia="Calibri"/>
          <w:b/>
        </w:rPr>
        <w:t>Train/validation/test split</w:t>
      </w:r>
    </w:p>
    <w:p>
      <w:pPr>
        <w:keepLines/>
        <w:spacing w:after="80" w:line="300" w:lineRule="auto"/>
        <w:numPr>
          <w:ilvl w:val="0"/>
          <w:numId w:val="31"/>
        </w:numPr>
      </w:pPr>
      <w:r>
        <w:rPr>
          <w:rFonts w:ascii="Calibri" w:hAnsi="Calibri" w:eastAsia="Calibri"/>
          <w:b w:val="0"/>
          <w:sz w:val="21"/>
        </w:rPr>
        <w:t>60% train, 20% validation, 20% test.</w:t>
      </w:r>
    </w:p>
    <w:p>
      <w:pPr>
        <w:keepLines/>
        <w:spacing w:after="80" w:line="300" w:lineRule="auto"/>
        <w:numPr>
          <w:ilvl w:val="0"/>
          <w:numId w:val="31"/>
        </w:numPr>
      </w:pPr>
      <w:r>
        <w:rPr>
          <w:rFonts w:ascii="Calibri" w:hAnsi="Calibri" w:eastAsia="Calibri"/>
          <w:b w:val="0"/>
          <w:sz w:val="21"/>
        </w:rPr>
        <w:t>Split first by participant and provider-time block so related records cannot cross partitions.</w:t>
      </w:r>
    </w:p>
    <w:p>
      <w:pPr>
        <w:keepLines/>
        <w:spacing w:after="80" w:line="300" w:lineRule="auto"/>
        <w:numPr>
          <w:ilvl w:val="0"/>
          <w:numId w:val="31"/>
        </w:numPr>
      </w:pPr>
      <w:r>
        <w:rPr>
          <w:rFonts w:ascii="Calibri" w:hAnsi="Calibri" w:eastAsia="Calibri"/>
          <w:b w:val="0"/>
          <w:sz w:val="21"/>
        </w:rPr>
        <w:t>Fit unsupervised detectors primarily on clean training records; use validation injections only for threshold selection.</w:t>
      </w:r>
    </w:p>
    <w:p>
      <w:pPr>
        <w:keepLines/>
        <w:spacing w:after="80" w:line="300" w:lineRule="auto"/>
        <w:numPr>
          <w:ilvl w:val="0"/>
          <w:numId w:val="31"/>
        </w:numPr>
      </w:pPr>
      <w:r>
        <w:rPr>
          <w:rFonts w:ascii="Calibri" w:hAnsi="Calibri" w:eastAsia="Calibri"/>
          <w:b w:val="0"/>
          <w:sz w:val="21"/>
        </w:rPr>
        <w:t>Freeze the test set before tuning.</w:t>
      </w:r>
    </w:p>
    <w:p>
      <w:pPr>
        <w:keepLines/>
        <w:spacing w:after="80" w:line="300" w:lineRule="auto"/>
        <w:numPr>
          <w:ilvl w:val="0"/>
          <w:numId w:val="31"/>
        </w:numPr>
      </w:pPr>
      <w:r>
        <w:rPr>
          <w:rFonts w:ascii="Calibri" w:hAnsi="Calibri" w:eastAsia="Calibri"/>
          <w:b w:val="0"/>
          <w:sz w:val="21"/>
        </w:rPr>
        <w:t>Keep the five demo fixtures outside all metric calculation.</w:t>
      </w:r>
    </w:p>
    <w:p>
      <w:pPr>
        <w:keepLines/>
        <w:spacing w:after="80" w:line="300" w:lineRule="auto"/>
        <w:numPr>
          <w:ilvl w:val="0"/>
          <w:numId w:val="31"/>
        </w:numPr>
      </w:pPr>
      <w:r>
        <w:rPr>
          <w:rFonts w:ascii="Calibri" w:hAnsi="Calibri" w:eastAsia="Calibri"/>
          <w:b w:val="0"/>
          <w:sz w:val="21"/>
        </w:rPr>
        <w:t>Report results per mode and macro averages with bootstrap confidence intervals if time permits.</w:t>
      </w:r>
    </w:p>
    <w:p>
      <w:pPr>
        <w:pStyle w:val="Heading3"/>
      </w:pPr>
      <w:r>
        <w:rPr>
          <w:rFonts w:ascii="Calibri" w:hAnsi="Calibri" w:eastAsia="Calibri"/>
          <w:b/>
        </w:rPr>
        <w:t>Leakage controls</w:t>
      </w:r>
    </w:p>
    <w:p>
      <w:pPr>
        <w:keepLines/>
        <w:spacing w:after="80" w:line="300" w:lineRule="auto"/>
        <w:numPr>
          <w:ilvl w:val="0"/>
          <w:numId w:val="32"/>
        </w:numPr>
      </w:pPr>
      <w:r>
        <w:rPr>
          <w:rFonts w:ascii="Calibri" w:hAnsi="Calibri" w:eastAsia="Calibri"/>
          <w:b w:val="0"/>
          <w:sz w:val="21"/>
        </w:rPr>
        <w:t>Remove injection manifests, sequential injected IDs, and mutation timestamps from feature tables.</w:t>
      </w:r>
    </w:p>
    <w:p>
      <w:pPr>
        <w:keepLines/>
        <w:spacing w:after="80" w:line="300" w:lineRule="auto"/>
        <w:numPr>
          <w:ilvl w:val="0"/>
          <w:numId w:val="32"/>
        </w:numPr>
      </w:pPr>
      <w:r>
        <w:rPr>
          <w:rFonts w:ascii="Calibri" w:hAnsi="Calibri" w:eastAsia="Calibri"/>
          <w:b w:val="0"/>
          <w:sz w:val="21"/>
        </w:rPr>
        <w:t>Regenerate normal identifiers and serialization order after injection.</w:t>
      </w:r>
    </w:p>
    <w:p>
      <w:pPr>
        <w:keepLines/>
        <w:spacing w:after="80" w:line="300" w:lineRule="auto"/>
        <w:numPr>
          <w:ilvl w:val="0"/>
          <w:numId w:val="32"/>
        </w:numPr>
      </w:pPr>
      <w:r>
        <w:rPr>
          <w:rFonts w:ascii="Calibri" w:hAnsi="Calibri" w:eastAsia="Calibri"/>
          <w:b w:val="0"/>
          <w:sz w:val="21"/>
        </w:rPr>
        <w:t>Test a trivial classifier against IDs/order; near-perfect performance is a leakage alarm.</w:t>
      </w:r>
    </w:p>
    <w:p>
      <w:pPr>
        <w:keepLines/>
        <w:spacing w:after="80" w:line="300" w:lineRule="auto"/>
        <w:numPr>
          <w:ilvl w:val="0"/>
          <w:numId w:val="32"/>
        </w:numPr>
      </w:pPr>
      <w:r>
        <w:rPr>
          <w:rFonts w:ascii="Calibri" w:hAnsi="Calibri" w:eastAsia="Calibri"/>
          <w:b w:val="0"/>
          <w:sz w:val="21"/>
        </w:rPr>
        <w:t>Avoid random row split; use grouped temporal splits.</w:t>
      </w:r>
    </w:p>
    <w:p>
      <w:pPr>
        <w:keepLines/>
        <w:spacing w:after="80" w:line="300" w:lineRule="auto"/>
        <w:numPr>
          <w:ilvl w:val="0"/>
          <w:numId w:val="32"/>
        </w:numPr>
      </w:pPr>
      <w:r>
        <w:rPr>
          <w:rFonts w:ascii="Calibri" w:hAnsi="Calibri" w:eastAsia="Calibri"/>
          <w:b w:val="0"/>
          <w:sz w:val="21"/>
        </w:rPr>
        <w:t>Inspect feature importance and manually review false positives/negatives.</w:t>
      </w:r>
    </w:p>
    <w:p>
      <w:pPr>
        <w:pStyle w:val="Heading3"/>
      </w:pPr>
      <w:r>
        <w:rPr>
          <w:rFonts w:ascii="Calibri" w:hAnsi="Calibri" w:eastAsia="Calibri"/>
          <w:b/>
        </w:rPr>
        <w:t>Bias and limitations</w:t>
      </w:r>
    </w:p>
    <w:p>
      <w:pPr>
        <w:keepLines/>
        <w:spacing w:after="80" w:line="300" w:lineRule="auto"/>
        <w:numPr>
          <w:ilvl w:val="0"/>
          <w:numId w:val="33"/>
        </w:numPr>
      </w:pPr>
      <w:r>
        <w:rPr>
          <w:rFonts w:ascii="Calibri" w:hAnsi="Calibri" w:eastAsia="Calibri"/>
          <w:b w:val="0"/>
          <w:sz w:val="21"/>
        </w:rPr>
        <w:t>Synthea is US-oriented and may encode non-Indonesian disease, service, and pathway distributions.</w:t>
      </w:r>
    </w:p>
    <w:p>
      <w:pPr>
        <w:keepLines/>
        <w:spacing w:after="80" w:line="300" w:lineRule="auto"/>
        <w:numPr>
          <w:ilvl w:val="0"/>
          <w:numId w:val="33"/>
        </w:numPr>
      </w:pPr>
      <w:r>
        <w:rPr>
          <w:rFonts w:ascii="Calibri" w:hAnsi="Calibri" w:eastAsia="Calibri"/>
          <w:b w:val="0"/>
          <w:sz w:val="21"/>
        </w:rPr>
        <w:t>Synthetic providers lack real regional capacity, referral patterns, tariffs, coding practice, and resource scarcity.</w:t>
      </w:r>
    </w:p>
    <w:p>
      <w:pPr>
        <w:keepLines/>
        <w:spacing w:after="80" w:line="300" w:lineRule="auto"/>
        <w:numPr>
          <w:ilvl w:val="0"/>
          <w:numId w:val="33"/>
        </w:numPr>
      </w:pPr>
      <w:r>
        <w:rPr>
          <w:rFonts w:ascii="Calibri" w:hAnsi="Calibri" w:eastAsia="Calibri"/>
          <w:b w:val="0"/>
          <w:sz w:val="21"/>
        </w:rPr>
        <w:t>Injected anomalies are simpler than adaptive real-world behavior.</w:t>
      </w:r>
    </w:p>
    <w:p>
      <w:pPr>
        <w:keepLines/>
        <w:spacing w:after="80" w:line="300" w:lineRule="auto"/>
        <w:numPr>
          <w:ilvl w:val="0"/>
          <w:numId w:val="33"/>
        </w:numPr>
      </w:pPr>
      <w:r>
        <w:rPr>
          <w:rFonts w:ascii="Calibri" w:hAnsi="Calibri" w:eastAsia="Calibri"/>
          <w:b w:val="0"/>
          <w:sz w:val="21"/>
        </w:rPr>
        <w:t>Document similarity may reflect templating that is legitimate, not cloning.</w:t>
      </w:r>
    </w:p>
    <w:p>
      <w:pPr>
        <w:keepLines/>
        <w:spacing w:after="80" w:line="300" w:lineRule="auto"/>
        <w:numPr>
          <w:ilvl w:val="0"/>
          <w:numId w:val="33"/>
        </w:numPr>
      </w:pPr>
      <w:r>
        <w:rPr>
          <w:rFonts w:ascii="Calibri" w:hAnsi="Calibri" w:eastAsia="Calibri"/>
          <w:b w:val="0"/>
          <w:sz w:val="21"/>
        </w:rPr>
        <w:t>Absence of evidence in an incomplete RME is not evidence that a service was not delivered.</w:t>
      </w:r>
    </w:p>
    <w:p>
      <w:pPr>
        <w:keepLines/>
        <w:spacing w:after="80" w:line="300" w:lineRule="auto"/>
        <w:numPr>
          <w:ilvl w:val="0"/>
          <w:numId w:val="33"/>
        </w:numPr>
      </w:pPr>
      <w:r>
        <w:rPr>
          <w:rFonts w:ascii="Calibri" w:hAnsi="Calibri" w:eastAsia="Calibri"/>
          <w:b w:val="0"/>
          <w:sz w:val="21"/>
        </w:rPr>
        <w:t>The prototype cannot estimate real-world false-positive cost, savings, or fairness across facilities.</w:t>
      </w:r>
    </w:p>
    <w:p>
      <w:pPr>
        <w:pStyle w:val="Heading2"/>
      </w:pPr>
      <w:r>
        <w:rPr>
          <w:rFonts w:ascii="Calibri" w:hAnsi="Calibri" w:eastAsia="Calibri"/>
          <w:b/>
        </w:rPr>
        <w:t>Data card acceptance criteria</w:t>
      </w:r>
    </w:p>
    <w:p>
      <w:pPr/>
      <w:r>
        <w:rPr>
          <w:rFonts w:ascii="Calibri" w:hAnsi="Calibri" w:eastAsia="Calibri"/>
          <w:b w:val="0"/>
        </w:rPr>
        <w:t xml:space="preserve">Before evaluation, </w:t>
      </w:r>
      <w:r>
        <w:rPr>
          <w:rFonts w:ascii="Consolas" w:hAnsi="Consolas" w:eastAsia="Consolas"/>
          <w:color w:val="1F4D78"/>
          <w:sz w:val="19"/>
        </w:rPr>
        <w:t>docs/04_data_card.md</w:t>
      </w:r>
      <w:r>
        <w:rPr>
          <w:rFonts w:ascii="Calibri" w:hAnsi="Calibri" w:eastAsia="Calibri"/>
          <w:b w:val="0"/>
        </w:rPr>
        <w:t xml:space="preserve"> must state source, license/terms, generation version, schema, population, injection logic, split logic, missingness, known biases, prohibited uses, and the sentence: </w:t>
      </w:r>
      <w:r>
        <w:rPr>
          <w:rFonts w:ascii="Calibri" w:hAnsi="Calibri" w:eastAsia="Calibri"/>
          <w:b/>
        </w:rPr>
        <w:t>“This dataset is synthetic and does not represent JKN prevalence or real provider behavior.”</w:t>
      </w:r>
    </w:p>
    <w:p>
      <w:pPr>
        <w:pStyle w:val="Heading1"/>
        <w:pageBreakBefore/>
      </w:pPr>
      <w:r>
        <w:rPr>
          <w:rFonts w:ascii="Calibri" w:hAnsi="Calibri" w:eastAsia="Calibri"/>
          <w:b/>
        </w:rPr>
        <w:t>10. Product &amp; User Workflow</w:t>
      </w:r>
    </w:p>
    <w:p>
      <w:pPr>
        <w:pStyle w:val="Heading2"/>
      </w:pPr>
      <w:r>
        <w:rPr>
          <w:rFonts w:ascii="Calibri" w:hAnsi="Calibri" w:eastAsia="Calibri"/>
          <w:b/>
        </w:rPr>
        <w:t>Is web the correct interface?</w:t>
      </w:r>
    </w:p>
    <w:p>
      <w:pPr/>
      <w:r>
        <w:rPr>
          <w:rFonts w:ascii="Calibri" w:hAnsi="Calibri" w:eastAsia="Calibri"/>
          <w:b/>
        </w:rPr>
        <w:t>Yes.</w:t>
      </w:r>
      <w:r>
        <w:rPr>
          <w:rFonts w:ascii="Calibri" w:hAnsi="Calibri" w:eastAsia="Calibri"/>
          <w:b w:val="0"/>
        </w:rPr>
        <w:t xml:space="preserve"> The primary task requires a work queue, cross-record comparison, evidence timelines, graphs, structured disposition, and audit history. A responsive web application is more credible than a mobile app for an operational reviewer and easier to demonstrate than an API-only prototype. The web client is a proof surface; the core value remains in the evidence service and versioned decision record.</w:t>
      </w:r>
    </w:p>
    <w:p>
      <w:pPr>
        <w:pStyle w:val="Heading2"/>
      </w:pPr>
      <w:r>
        <w:rPr>
          <w:rFonts w:ascii="Calibri" w:hAnsi="Calibri" w:eastAsia="Calibri"/>
          <w:b/>
        </w:rPr>
        <w:t>Primary task contract</w:t>
      </w:r>
    </w:p>
    <w:p>
      <w:pPr/>
      <w:r>
        <w:rPr>
          <w:rFonts w:ascii="Calibri" w:hAnsi="Calibri" w:eastAsia="Calibri"/>
          <w:b/>
        </w:rPr>
        <w:t>PRIMARY USER</w:t>
      </w:r>
      <w:r>
        <w:rPr>
          <w:rFonts w:ascii="Calibri" w:hAnsi="Calibri" w:eastAsia="Calibri"/>
          <w:b w:val="0"/>
        </w:rPr>
        <w:t xml:space="preserve"> → hospital casemix / anti-fraud officer </w:t>
      </w:r>
      <w:r>
        <w:rPr>
          <w:rFonts w:ascii="Calibri" w:hAnsi="Calibri" w:eastAsia="Calibri"/>
          <w:b/>
        </w:rPr>
        <w:t>PRIMARY TASK</w:t>
      </w:r>
      <w:r>
        <w:rPr>
          <w:rFonts w:ascii="Calibri" w:hAnsi="Calibri" w:eastAsia="Calibri"/>
          <w:b w:val="0"/>
        </w:rPr>
        <w:t xml:space="preserve"> → determine whether a claim is ready, needs missing evidence, or needs risk escalation </w:t>
      </w:r>
      <w:r>
        <w:rPr>
          <w:rFonts w:ascii="Calibri" w:hAnsi="Calibri" w:eastAsia="Calibri"/>
          <w:b/>
        </w:rPr>
        <w:t>INPUT</w:t>
      </w:r>
      <w:r>
        <w:rPr>
          <w:rFonts w:ascii="Calibri" w:hAnsi="Calibri" w:eastAsia="Calibri"/>
          <w:b w:val="0"/>
        </w:rPr>
        <w:t xml:space="preserve"> → one synthetic Claim + RME Bundle or seeded case </w:t>
      </w:r>
      <w:r>
        <w:rPr>
          <w:rFonts w:ascii="Calibri" w:hAnsi="Calibri" w:eastAsia="Calibri"/>
          <w:b/>
        </w:rPr>
        <w:t>DETECTION</w:t>
      </w:r>
      <w:r>
        <w:rPr>
          <w:rFonts w:ascii="Calibri" w:hAnsi="Calibri" w:eastAsia="Calibri"/>
          <w:b w:val="0"/>
        </w:rPr>
        <w:t xml:space="preserve"> → schema checks, evidence rules, duplication/similarity/anomaly signals </w:t>
      </w:r>
      <w:r>
        <w:rPr>
          <w:rFonts w:ascii="Calibri" w:hAnsi="Calibri" w:eastAsia="Calibri"/>
          <w:b/>
        </w:rPr>
        <w:t>EVIDENCE</w:t>
      </w:r>
      <w:r>
        <w:rPr>
          <w:rFonts w:ascii="Calibri" w:hAnsi="Calibri" w:eastAsia="Calibri"/>
          <w:b w:val="0"/>
        </w:rPr>
        <w:t xml:space="preserve"> → claim-line links, missing/contradictory resources, comparison records, timeline </w:t>
      </w:r>
      <w:r>
        <w:rPr>
          <w:rFonts w:ascii="Calibri" w:hAnsi="Calibri" w:eastAsia="Calibri"/>
          <w:b/>
        </w:rPr>
        <w:t>ACTION</w:t>
      </w:r>
      <w:r>
        <w:rPr>
          <w:rFonts w:ascii="Calibri" w:hAnsi="Calibri" w:eastAsia="Calibri"/>
          <w:b w:val="0"/>
        </w:rPr>
        <w:t xml:space="preserve"> → confirm anomaly, reject signal, request evidence, or escalate, with a reason </w:t>
      </w:r>
      <w:r>
        <w:rPr>
          <w:rFonts w:ascii="Calibri" w:hAnsi="Calibri" w:eastAsia="Calibri"/>
          <w:b/>
        </w:rPr>
        <w:t>AUDIT</w:t>
      </w:r>
      <w:r>
        <w:rPr>
          <w:rFonts w:ascii="Calibri" w:hAnsi="Calibri" w:eastAsia="Calibri"/>
          <w:b w:val="0"/>
        </w:rPr>
        <w:t xml:space="preserve"> → append-only event with actor, time, input hash, rule/model version, evidence, and disposition</w:t>
      </w:r>
    </w:p>
    <w:p>
      <w:pPr>
        <w:pStyle w:val="Heading2"/>
      </w:pPr>
      <w:r>
        <w:rPr>
          <w:rFonts w:ascii="Calibri" w:hAnsi="Calibri" w:eastAsia="Calibri"/>
          <w:b/>
        </w:rPr>
        <w:t>End-to-end user flow</w:t>
      </w:r>
    </w:p>
    <w:p>
      <w:pPr>
        <w:keepLines/>
        <w:spacing w:after="80" w:line="300" w:lineRule="auto"/>
        <w:numPr>
          <w:ilvl w:val="0"/>
          <w:numId w:val="34"/>
        </w:numPr>
      </w:pPr>
      <w:r>
        <w:rPr>
          <w:rFonts w:ascii="Calibri" w:hAnsi="Calibri" w:eastAsia="Calibri"/>
          <w:b w:val="0"/>
          <w:sz w:val="21"/>
        </w:rPr>
        <w:t>User opens the review queue and sees ranked cases, reason labels, age, amount, and confidence band.</w:t>
      </w:r>
    </w:p>
    <w:p>
      <w:pPr>
        <w:keepLines/>
        <w:spacing w:after="80" w:line="300" w:lineRule="auto"/>
        <w:numPr>
          <w:ilvl w:val="0"/>
          <w:numId w:val="34"/>
        </w:numPr>
      </w:pPr>
      <w:r>
        <w:rPr>
          <w:rFonts w:ascii="Calibri" w:hAnsi="Calibri" w:eastAsia="Calibri"/>
          <w:b w:val="0"/>
          <w:sz w:val="21"/>
        </w:rPr>
        <w:t>User selects a case; the system opens the strongest reason, not a generic profile page.</w:t>
      </w:r>
    </w:p>
    <w:p>
      <w:pPr>
        <w:keepLines/>
        <w:spacing w:after="80" w:line="300" w:lineRule="auto"/>
        <w:numPr>
          <w:ilvl w:val="0"/>
          <w:numId w:val="34"/>
        </w:numPr>
      </w:pPr>
      <w:r>
        <w:rPr>
          <w:rFonts w:ascii="Calibri" w:hAnsi="Calibri" w:eastAsia="Calibri"/>
          <w:b w:val="0"/>
          <w:sz w:val="21"/>
        </w:rPr>
        <w:t>The detail page shows the claim line, expected evidence, observed evidence/counter-evidence, and episode timeline.</w:t>
      </w:r>
    </w:p>
    <w:p>
      <w:pPr>
        <w:keepLines/>
        <w:spacing w:after="80" w:line="300" w:lineRule="auto"/>
        <w:numPr>
          <w:ilvl w:val="0"/>
          <w:numId w:val="34"/>
        </w:numPr>
      </w:pPr>
      <w:r>
        <w:rPr>
          <w:rFonts w:ascii="Calibri" w:hAnsi="Calibri" w:eastAsia="Calibri"/>
          <w:b w:val="0"/>
          <w:sz w:val="21"/>
        </w:rPr>
        <w:t>For cross-record patterns, the user compares the candidate pair side by side.</w:t>
      </w:r>
    </w:p>
    <w:p>
      <w:pPr>
        <w:keepLines/>
        <w:spacing w:after="80" w:line="300" w:lineRule="auto"/>
        <w:numPr>
          <w:ilvl w:val="0"/>
          <w:numId w:val="34"/>
        </w:numPr>
      </w:pPr>
      <w:r>
        <w:rPr>
          <w:rFonts w:ascii="Calibri" w:hAnsi="Calibri" w:eastAsia="Calibri"/>
          <w:b w:val="0"/>
          <w:sz w:val="21"/>
        </w:rPr>
        <w:t xml:space="preserve">The user selects </w:t>
      </w:r>
      <w:r>
        <w:rPr>
          <w:rFonts w:ascii="Calibri" w:hAnsi="Calibri" w:eastAsia="Calibri"/>
          <w:b/>
          <w:sz w:val="21"/>
        </w:rPr>
        <w:t>Reject signal</w:t>
      </w:r>
      <w:r>
        <w:rPr>
          <w:rFonts w:ascii="Calibri" w:hAnsi="Calibri" w:eastAsia="Calibri"/>
          <w:b w:val="0"/>
          <w:sz w:val="21"/>
        </w:rPr>
        <w:t xml:space="preserve">, </w:t>
      </w:r>
      <w:r>
        <w:rPr>
          <w:rFonts w:ascii="Calibri" w:hAnsi="Calibri" w:eastAsia="Calibri"/>
          <w:b/>
          <w:sz w:val="21"/>
        </w:rPr>
        <w:t>Request evidence</w:t>
      </w:r>
      <w:r>
        <w:rPr>
          <w:rFonts w:ascii="Calibri" w:hAnsi="Calibri" w:eastAsia="Calibri"/>
          <w:b w:val="0"/>
          <w:sz w:val="21"/>
        </w:rPr>
        <w:t xml:space="preserve">, </w:t>
      </w:r>
      <w:r>
        <w:rPr>
          <w:rFonts w:ascii="Calibri" w:hAnsi="Calibri" w:eastAsia="Calibri"/>
          <w:b/>
          <w:sz w:val="21"/>
        </w:rPr>
        <w:t>Confirm anomaly</w:t>
      </w:r>
      <w:r>
        <w:rPr>
          <w:rFonts w:ascii="Calibri" w:hAnsi="Calibri" w:eastAsia="Calibri"/>
          <w:b w:val="0"/>
          <w:sz w:val="21"/>
        </w:rPr>
        <w:t xml:space="preserve">, or </w:t>
      </w:r>
      <w:r>
        <w:rPr>
          <w:rFonts w:ascii="Calibri" w:hAnsi="Calibri" w:eastAsia="Calibri"/>
          <w:b/>
          <w:sz w:val="21"/>
        </w:rPr>
        <w:t>Escalate</w:t>
      </w:r>
      <w:r>
        <w:rPr>
          <w:rFonts w:ascii="Calibri" w:hAnsi="Calibri" w:eastAsia="Calibri"/>
          <w:b w:val="0"/>
          <w:sz w:val="21"/>
        </w:rPr>
        <w:t xml:space="preserve"> and enters a reason.</w:t>
      </w:r>
    </w:p>
    <w:p>
      <w:pPr>
        <w:keepLines/>
        <w:spacing w:after="80" w:line="300" w:lineRule="auto"/>
        <w:numPr>
          <w:ilvl w:val="0"/>
          <w:numId w:val="34"/>
        </w:numPr>
      </w:pPr>
      <w:r>
        <w:rPr>
          <w:rFonts w:ascii="Calibri" w:hAnsi="Calibri" w:eastAsia="Calibri"/>
          <w:b w:val="0"/>
          <w:sz w:val="21"/>
        </w:rPr>
        <w:t>The system writes an immutable audit event and returns the case to the correct state.</w:t>
      </w:r>
    </w:p>
    <w:p>
      <w:pPr>
        <w:keepLines/>
        <w:spacing w:after="80" w:line="300" w:lineRule="auto"/>
        <w:numPr>
          <w:ilvl w:val="0"/>
          <w:numId w:val="34"/>
        </w:numPr>
      </w:pPr>
      <w:r>
        <w:rPr>
          <w:rFonts w:ascii="Calibri" w:hAnsi="Calibri" w:eastAsia="Calibri"/>
          <w:b w:val="0"/>
          <w:sz w:val="21"/>
        </w:rPr>
        <w:t>Aggregate screens show model/rule performance and review outcomes—not a leaderboard of “fraudulent hospitals.”</w:t>
      </w:r>
    </w:p>
    <w:p>
      <w:pPr>
        <w:pStyle w:val="Heading2"/>
      </w:pPr>
      <w:r>
        <w:rPr>
          <w:rFonts w:ascii="Calibri" w:hAnsi="Calibri" w:eastAsia="Calibri"/>
          <w:b/>
        </w:rPr>
        <w:t>Functional state model</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State</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Meaning</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Allowed transition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NEW</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Ingested; not screened</w:t>
            </w:r>
          </w:p>
        </w:tc>
        <w:tc>
          <w:tcPr>
            <w:tcW w:type="dxa" w:w="343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SCREENED</w:t>
            </w:r>
            <w:r>
              <w:rPr>
                <w:rFonts w:ascii="Calibri" w:hAnsi="Calibri" w:eastAsia="Calibri"/>
                <w:b w:val="0"/>
                <w:color w:val="0B2545"/>
                <w:sz w:val="17"/>
              </w:rPr>
              <w:t xml:space="preserve"> or </w:t>
            </w:r>
            <w:r>
              <w:rPr>
                <w:rFonts w:ascii="Consolas" w:hAnsi="Consolas" w:eastAsia="Consolas"/>
                <w:color w:val="1F4D78"/>
                <w:sz w:val="16"/>
              </w:rPr>
              <w:t>INVALID_INPUT</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SCREENED</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Risk signals computed</w:t>
            </w:r>
          </w:p>
        </w:tc>
        <w:tc>
          <w:tcPr>
            <w:tcW w:type="dxa" w:w="343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IN_REVIEW</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IN_REVIEW</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Human owns the case</w:t>
            </w:r>
          </w:p>
        </w:tc>
        <w:tc>
          <w:tcPr>
            <w:tcW w:type="dxa" w:w="343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EVIDENCE_REQUESTED</w:t>
            </w:r>
            <w:r>
              <w:rPr>
                <w:rFonts w:ascii="Calibri" w:hAnsi="Calibri" w:eastAsia="Calibri"/>
                <w:b w:val="0"/>
                <w:color w:val="0B2545"/>
                <w:sz w:val="17"/>
              </w:rPr>
              <w:t xml:space="preserve">, </w:t>
            </w:r>
            <w:r>
              <w:rPr>
                <w:rFonts w:ascii="Consolas" w:hAnsi="Consolas" w:eastAsia="Consolas"/>
                <w:color w:val="1F4D78"/>
                <w:sz w:val="16"/>
              </w:rPr>
              <w:t>DISMISSED</w:t>
            </w:r>
            <w:r>
              <w:rPr>
                <w:rFonts w:ascii="Calibri" w:hAnsi="Calibri" w:eastAsia="Calibri"/>
                <w:b w:val="0"/>
                <w:color w:val="0B2545"/>
                <w:sz w:val="17"/>
              </w:rPr>
              <w:t xml:space="preserve">, </w:t>
            </w:r>
            <w:r>
              <w:rPr>
                <w:rFonts w:ascii="Consolas" w:hAnsi="Consolas" w:eastAsia="Consolas"/>
                <w:color w:val="1F4D78"/>
                <w:sz w:val="16"/>
              </w:rPr>
              <w:t>CONFIRMED_ANOMALY</w:t>
            </w:r>
            <w:r>
              <w:rPr>
                <w:rFonts w:ascii="Calibri" w:hAnsi="Calibri" w:eastAsia="Calibri"/>
                <w:b w:val="0"/>
                <w:color w:val="0B2545"/>
                <w:sz w:val="17"/>
              </w:rPr>
              <w:t xml:space="preserve">, </w:t>
            </w:r>
            <w:r>
              <w:rPr>
                <w:rFonts w:ascii="Consolas" w:hAnsi="Consolas" w:eastAsia="Consolas"/>
                <w:color w:val="1F4D78"/>
                <w:sz w:val="16"/>
              </w:rPr>
              <w:t>ESCALATED</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EVIDENCE_REQUESTED</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More documentation requested</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 xml:space="preserve">back to </w:t>
            </w:r>
            <w:r>
              <w:rPr>
                <w:rFonts w:ascii="Consolas" w:hAnsi="Consolas" w:eastAsia="Consolas"/>
                <w:color w:val="1F4D78"/>
                <w:sz w:val="16"/>
              </w:rPr>
              <w:t>SCREENED</w:t>
            </w:r>
            <w:r>
              <w:rPr>
                <w:rFonts w:ascii="Calibri" w:hAnsi="Calibri" w:eastAsia="Calibri"/>
                <w:b w:val="0"/>
                <w:color w:val="0B2545"/>
                <w:sz w:val="17"/>
              </w:rPr>
              <w:t xml:space="preserve"> after new version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DISMISSED</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Signal rejected with reason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closed; can be reopened by authorized reviewer</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CONFIRMED_ANOMALY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Human confirms inconsistency—not legal fraud</w:t>
            </w:r>
          </w:p>
        </w:tc>
        <w:tc>
          <w:tcPr>
            <w:tcW w:type="dxa" w:w="343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ESCALATED</w:t>
            </w:r>
            <w:r>
              <w:rPr>
                <w:rFonts w:ascii="Calibri" w:hAnsi="Calibri" w:eastAsia="Calibri"/>
                <w:b w:val="0"/>
                <w:color w:val="0B2545"/>
                <w:sz w:val="17"/>
              </w:rPr>
              <w:t xml:space="preserve"> or closed according to future policy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ESCALATED</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Sent for authorized investigation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no automated sanction/payment action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onsolas" w:hAnsi="Consolas" w:eastAsia="Consolas"/>
                <w:color w:val="1F4D78"/>
                <w:sz w:val="16"/>
              </w:rPr>
              <w:t>INVALID_INPUT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Bundle failed structural validation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resubmit corrected version</w:t>
            </w:r>
          </w:p>
        </w:tc>
      </w:tr>
    </w:tbl>
    <w:p>
      <w:pPr>
        <w:spacing w:before="0" w:after="60"/>
      </w:pPr>
    </w:p>
    <w:p>
      <w:pPr>
        <w:pStyle w:val="Heading2"/>
      </w:pPr>
      <w:r>
        <w:rPr>
          <w:rFonts w:ascii="Calibri" w:hAnsi="Calibri" w:eastAsia="Calibri"/>
          <w:b/>
        </w:rPr>
        <w:t>Confidence and uncertainty</w:t>
      </w:r>
    </w:p>
    <w:p>
      <w:pPr/>
      <w:r>
        <w:rPr>
          <w:rFonts w:ascii="Calibri" w:hAnsi="Calibri" w:eastAsia="Calibri"/>
          <w:b w:val="0"/>
        </w:rPr>
        <w:t>Do not hard-code “75% = fraud.” Calibrate bands on validation data and expose their basis:</w:t>
      </w:r>
    </w:p>
    <w:p>
      <w:pPr>
        <w:keepLines/>
        <w:spacing w:after="80" w:line="300" w:lineRule="auto"/>
        <w:numPr>
          <w:ilvl w:val="0"/>
          <w:numId w:val="35"/>
        </w:numPr>
      </w:pPr>
      <w:r>
        <w:rPr>
          <w:rFonts w:ascii="Calibri" w:hAnsi="Calibri" w:eastAsia="Calibri"/>
          <w:b/>
          <w:sz w:val="21"/>
        </w:rPr>
        <w:t>Deterministic conflict:</w:t>
      </w:r>
      <w:r>
        <w:rPr>
          <w:rFonts w:ascii="Calibri" w:hAnsi="Calibri" w:eastAsia="Calibri"/>
          <w:b w:val="0"/>
          <w:sz w:val="21"/>
        </w:rPr>
        <w:t xml:space="preserve"> a versioned invariant is violated; route to high-priority review but do not auto-reject.</w:t>
      </w:r>
    </w:p>
    <w:p>
      <w:pPr>
        <w:keepLines/>
        <w:spacing w:after="80" w:line="300" w:lineRule="auto"/>
        <w:numPr>
          <w:ilvl w:val="0"/>
          <w:numId w:val="35"/>
        </w:numPr>
      </w:pPr>
      <w:r>
        <w:rPr>
          <w:rFonts w:ascii="Calibri" w:hAnsi="Calibri" w:eastAsia="Calibri"/>
          <w:b/>
          <w:sz w:val="21"/>
        </w:rPr>
        <w:t>High-priority signal:</w:t>
      </w:r>
      <w:r>
        <w:rPr>
          <w:rFonts w:ascii="Calibri" w:hAnsi="Calibri" w:eastAsia="Calibri"/>
          <w:b w:val="0"/>
          <w:sz w:val="21"/>
        </w:rPr>
        <w:t xml:space="preserve"> threshold chosen for a target precision or review budget on validation data; show supporting and opposing signals.</w:t>
      </w:r>
    </w:p>
    <w:p>
      <w:pPr>
        <w:keepLines/>
        <w:spacing w:after="80" w:line="300" w:lineRule="auto"/>
        <w:numPr>
          <w:ilvl w:val="0"/>
          <w:numId w:val="35"/>
        </w:numPr>
      </w:pPr>
      <w:r>
        <w:rPr>
          <w:rFonts w:ascii="Calibri" w:hAnsi="Calibri" w:eastAsia="Calibri"/>
          <w:b/>
          <w:sz w:val="21"/>
        </w:rPr>
        <w:t>Needs context:</w:t>
      </w:r>
      <w:r>
        <w:rPr>
          <w:rFonts w:ascii="Calibri" w:hAnsi="Calibri" w:eastAsia="Calibri"/>
          <w:b w:val="0"/>
          <w:sz w:val="21"/>
        </w:rPr>
        <w:t xml:space="preserve"> uncertain or incomplete evidence; request information or use random/quality sampling.</w:t>
      </w:r>
    </w:p>
    <w:p>
      <w:pPr>
        <w:keepLines/>
        <w:spacing w:after="80" w:line="300" w:lineRule="auto"/>
        <w:numPr>
          <w:ilvl w:val="0"/>
          <w:numId w:val="35"/>
        </w:numPr>
      </w:pPr>
      <w:r>
        <w:rPr>
          <w:rFonts w:ascii="Calibri" w:hAnsi="Calibri" w:eastAsia="Calibri"/>
          <w:b/>
          <w:sz w:val="21"/>
        </w:rPr>
        <w:t>No observed risk:</w:t>
      </w:r>
      <w:r>
        <w:rPr>
          <w:rFonts w:ascii="Calibri" w:hAnsi="Calibri" w:eastAsia="Calibri"/>
          <w:b w:val="0"/>
          <w:sz w:val="21"/>
        </w:rPr>
        <w:t xml:space="preserve"> no selected detector fired; never label the claim “clean” or “safe.”</w:t>
      </w:r>
    </w:p>
    <w:p>
      <w:pPr>
        <w:pStyle w:val="Heading2"/>
      </w:pPr>
      <w:r>
        <w:rPr>
          <w:rFonts w:ascii="Calibri" w:hAnsi="Calibri" w:eastAsia="Calibri"/>
          <w:b/>
        </w:rPr>
        <w:t>What AI may and may not do</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3900"/>
        <w:gridCol w:w="5460"/>
      </w:tblGrid>
      <w:tr>
        <w:trPr>
          <w:tblHeader w:val="true"/>
        </w:trPr>
        <w:tc>
          <w:tcPr>
            <w:tcW w:type="dxa" w:w="39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AI/system may</w:t>
            </w:r>
          </w:p>
        </w:tc>
        <w:tc>
          <w:tcPr>
            <w:tcW w:type="dxa" w:w="54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AI/system must not</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Validate shape and references</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Declare a person or facility fraudulent</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Highlight missing, duplicated, or conflicting evidence</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Reject a claim, stop payment, impose sanctions, or alter codes</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Rank cases for review</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Decide medical necessity or diagnose a patient</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Show similar records and features</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Treat missing evidence as proof a service was not delivered</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Suggest a structured reviewer reason</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Conceal uncertainty, counter-evidence, or data limitations</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Draft an optional evidence-bound summary</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Send sensitive data to an external LLM by default</w:t>
            </w:r>
          </w:p>
        </w:tc>
      </w:tr>
    </w:tbl>
    <w:p>
      <w:pPr>
        <w:spacing w:before="0" w:after="60"/>
      </w:pPr>
    </w:p>
    <w:p>
      <w:pPr>
        <w:pStyle w:val="Heading1"/>
        <w:pageBreakBefore/>
      </w:pPr>
      <w:r>
        <w:rPr>
          <w:rFonts w:ascii="Calibri" w:hAnsi="Calibri" w:eastAsia="Calibri"/>
          <w:b/>
        </w:rPr>
        <w:t>11. Technical Architecture</w:t>
      </w:r>
    </w:p>
    <w:p>
      <w:pPr>
        <w:pStyle w:val="Heading2"/>
      </w:pPr>
      <w:r>
        <w:rPr>
          <w:rFonts w:ascii="Calibri" w:hAnsi="Calibri" w:eastAsia="Calibri"/>
          <w:b/>
        </w:rPr>
        <w:t>Architecture diagram</w:t>
      </w: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tcMar>
              <w:top w:w="90" w:type="dxa"/>
              <w:start w:w="180" w:type="dxa"/>
              <w:bottom w:w="90" w:type="dxa"/>
              <w:end w:w="180" w:type="dxa"/>
            </w:tcMar>
            <w:shd w:fill="E8EEF5" w:val="clear"/>
            <w:vAlign w:val="center"/>
            <w:tcBorders>
              <w:top w:val="single" w:sz="5" w:color="B8C4D0"/>
              <w:left w:val="single" w:sz="5" w:color="B8C4D0"/>
              <w:bottom w:val="single" w:sz="5" w:color="B8C4D0"/>
              <w:right w:val="single" w:sz="5" w:color="B8C4D0"/>
            </w:tcBorders>
          </w:tcPr>
          <w:p>
            <w:pPr>
              <w:spacing w:after="0"/>
              <w:jc w:val="center"/>
            </w:pPr>
            <w:r>
              <w:rPr>
                <w:rFonts w:ascii="Calibri" w:hAnsi="Calibri" w:eastAsia="Calibri"/>
                <w:b/>
                <w:color w:val="0B2545"/>
                <w:sz w:val="19"/>
              </w:rPr>
              <w:t>1. Synthetic FHIR + Claim bundles</w:t>
            </w:r>
          </w:p>
        </w:tc>
      </w:tr>
      <w:tr>
        <w:tc>
          <w:tcPr>
            <w:tcW w:type="dxa" w:w="9360"/>
            <w:tcMar>
              <w:top w:w="80" w:type="dxa"/>
              <w:start w:w="120" w:type="dxa"/>
              <w:bottom w:w="80" w:type="dxa"/>
              <w:end w:w="120" w:type="dxa"/>
            </w:tcMar>
          </w:tcPr>
          <w:p>
            <w:pPr>
              <w:spacing w:before="0" w:after="0"/>
              <w:jc w:val="center"/>
            </w:pPr>
            <w:r>
              <w:rPr>
                <w:rFonts w:ascii="Segoe UI Symbol" w:hAnsi="Segoe UI Symbol" w:eastAsia="Segoe UI Symbol"/>
                <w:b/>
                <w:color w:val="2E74B5"/>
                <w:sz w:val="20"/>
              </w:rPr>
              <w:t>↓</w:t>
            </w:r>
          </w:p>
        </w:tc>
      </w:tr>
      <w:tr>
        <w:tc>
          <w:tcPr>
            <w:tcW w:type="dxa" w:w="9360"/>
            <w:tcMar>
              <w:top w:w="90" w:type="dxa"/>
              <w:start w:w="180" w:type="dxa"/>
              <w:bottom w:w="90" w:type="dxa"/>
              <w:end w:w="180" w:type="dxa"/>
            </w:tcMar>
            <w:shd w:fill="F4F6F9" w:val="clear"/>
            <w:vAlign w:val="center"/>
            <w:tcBorders>
              <w:top w:val="single" w:sz="5" w:color="B8C4D0"/>
              <w:left w:val="single" w:sz="5" w:color="B8C4D0"/>
              <w:bottom w:val="single" w:sz="5" w:color="B8C4D0"/>
              <w:right w:val="single" w:sz="5" w:color="B8C4D0"/>
            </w:tcBorders>
          </w:tcPr>
          <w:p>
            <w:pPr>
              <w:spacing w:after="0"/>
              <w:jc w:val="center"/>
            </w:pPr>
            <w:r>
              <w:rPr>
                <w:rFonts w:ascii="Calibri" w:hAnsi="Calibri" w:eastAsia="Calibri"/>
                <w:b/>
                <w:color w:val="0B2545"/>
                <w:sz w:val="19"/>
              </w:rPr>
              <w:t>2. FastAPI ingestion and validation</w:t>
            </w:r>
          </w:p>
        </w:tc>
      </w:tr>
      <w:tr>
        <w:tc>
          <w:tcPr>
            <w:tcW w:type="dxa" w:w="9360"/>
            <w:tcMar>
              <w:top w:w="80" w:type="dxa"/>
              <w:start w:w="120" w:type="dxa"/>
              <w:bottom w:w="80" w:type="dxa"/>
              <w:end w:w="120" w:type="dxa"/>
            </w:tcMar>
          </w:tcPr>
          <w:p>
            <w:pPr>
              <w:spacing w:before="0" w:after="0"/>
              <w:jc w:val="center"/>
            </w:pPr>
            <w:r>
              <w:rPr>
                <w:rFonts w:ascii="Segoe UI Symbol" w:hAnsi="Segoe UI Symbol" w:eastAsia="Segoe UI Symbol"/>
                <w:b/>
                <w:color w:val="2E74B5"/>
                <w:sz w:val="20"/>
              </w:rPr>
              <w:t>↓</w:t>
            </w:r>
          </w:p>
        </w:tc>
      </w:tr>
      <w:tr>
        <w:tc>
          <w:tcPr>
            <w:tcW w:type="dxa" w:w="9360"/>
            <w:tcMar>
              <w:top w:w="90" w:type="dxa"/>
              <w:start w:w="180" w:type="dxa"/>
              <w:bottom w:w="90" w:type="dxa"/>
              <w:end w:w="180" w:type="dxa"/>
            </w:tcMar>
            <w:shd w:fill="E8EEF5" w:val="clear"/>
            <w:vAlign w:val="center"/>
            <w:tcBorders>
              <w:top w:val="single" w:sz="5" w:color="B8C4D0"/>
              <w:left w:val="single" w:sz="5" w:color="B8C4D0"/>
              <w:bottom w:val="single" w:sz="5" w:color="B8C4D0"/>
              <w:right w:val="single" w:sz="5" w:color="B8C4D0"/>
            </w:tcBorders>
          </w:tcPr>
          <w:p>
            <w:pPr>
              <w:spacing w:after="0"/>
              <w:jc w:val="center"/>
            </w:pPr>
            <w:r>
              <w:rPr>
                <w:rFonts w:ascii="Calibri" w:hAnsi="Calibri" w:eastAsia="Calibri"/>
                <w:b/>
                <w:color w:val="0B2545"/>
                <w:sz w:val="19"/>
              </w:rPr>
              <w:t>3. Canonical episode and evidence graph</w:t>
            </w:r>
          </w:p>
        </w:tc>
      </w:tr>
      <w:tr>
        <w:tc>
          <w:tcPr>
            <w:tcW w:type="dxa" w:w="9360"/>
            <w:tcMar>
              <w:top w:w="80" w:type="dxa"/>
              <w:start w:w="120" w:type="dxa"/>
              <w:bottom w:w="80" w:type="dxa"/>
              <w:end w:w="120" w:type="dxa"/>
            </w:tcMar>
          </w:tcPr>
          <w:p>
            <w:pPr>
              <w:spacing w:before="0" w:after="0"/>
              <w:jc w:val="center"/>
            </w:pPr>
            <w:r>
              <w:rPr>
                <w:rFonts w:ascii="Segoe UI Symbol" w:hAnsi="Segoe UI Symbol" w:eastAsia="Segoe UI Symbol"/>
                <w:b/>
                <w:color w:val="2E74B5"/>
                <w:sz w:val="20"/>
              </w:rPr>
              <w:t>↓</w:t>
            </w:r>
          </w:p>
        </w:tc>
      </w:tr>
      <w:tr>
        <w:tc>
          <w:tcPr>
            <w:tcW w:type="dxa" w:w="9360"/>
            <w:tcMar>
              <w:top w:w="90" w:type="dxa"/>
              <w:start w:w="180" w:type="dxa"/>
              <w:bottom w:w="90" w:type="dxa"/>
              <w:end w:w="180" w:type="dxa"/>
            </w:tcMar>
            <w:shd w:fill="F4F6F9" w:val="clear"/>
            <w:vAlign w:val="center"/>
            <w:tcBorders>
              <w:top w:val="single" w:sz="5" w:color="B8C4D0"/>
              <w:left w:val="single" w:sz="5" w:color="B8C4D0"/>
              <w:bottom w:val="single" w:sz="5" w:color="B8C4D0"/>
              <w:right w:val="single" w:sz="5" w:color="B8C4D0"/>
            </w:tcBorders>
          </w:tcPr>
          <w:p>
            <w:pPr>
              <w:spacing w:after="0"/>
              <w:jc w:val="center"/>
            </w:pPr>
            <w:r>
              <w:rPr>
                <w:rFonts w:ascii="Calibri" w:hAnsi="Calibri" w:eastAsia="Calibri"/>
                <w:b/>
                <w:color w:val="0B2545"/>
                <w:sz w:val="19"/>
              </w:rPr>
              <w:t>4. Rules + similarity + anomaly scoring</w:t>
            </w:r>
          </w:p>
        </w:tc>
      </w:tr>
      <w:tr>
        <w:tc>
          <w:tcPr>
            <w:tcW w:type="dxa" w:w="9360"/>
            <w:tcMar>
              <w:top w:w="80" w:type="dxa"/>
              <w:start w:w="120" w:type="dxa"/>
              <w:bottom w:w="80" w:type="dxa"/>
              <w:end w:w="120" w:type="dxa"/>
            </w:tcMar>
          </w:tcPr>
          <w:p>
            <w:pPr>
              <w:spacing w:before="0" w:after="0"/>
              <w:jc w:val="center"/>
            </w:pPr>
            <w:r>
              <w:rPr>
                <w:rFonts w:ascii="Segoe UI Symbol" w:hAnsi="Segoe UI Symbol" w:eastAsia="Segoe UI Symbol"/>
                <w:b/>
                <w:color w:val="2E74B5"/>
                <w:sz w:val="20"/>
              </w:rPr>
              <w:t>↓</w:t>
            </w:r>
          </w:p>
        </w:tc>
      </w:tr>
      <w:tr>
        <w:tc>
          <w:tcPr>
            <w:tcW w:type="dxa" w:w="9360"/>
            <w:tcMar>
              <w:top w:w="90" w:type="dxa"/>
              <w:start w:w="180" w:type="dxa"/>
              <w:bottom w:w="90" w:type="dxa"/>
              <w:end w:w="180" w:type="dxa"/>
            </w:tcMar>
            <w:shd w:fill="E8EEF5" w:val="clear"/>
            <w:vAlign w:val="center"/>
            <w:tcBorders>
              <w:top w:val="single" w:sz="5" w:color="B8C4D0"/>
              <w:left w:val="single" w:sz="5" w:color="B8C4D0"/>
              <w:bottom w:val="single" w:sz="5" w:color="B8C4D0"/>
              <w:right w:val="single" w:sz="5" w:color="B8C4D0"/>
            </w:tcBorders>
          </w:tcPr>
          <w:p>
            <w:pPr>
              <w:spacing w:after="0"/>
              <w:jc w:val="center"/>
            </w:pPr>
            <w:r>
              <w:rPr>
                <w:rFonts w:ascii="Calibri" w:hAnsi="Calibri" w:eastAsia="Calibri"/>
                <w:b/>
                <w:color w:val="0B2545"/>
                <w:sz w:val="19"/>
              </w:rPr>
              <w:t>5. Risk reasons, evidence and uncertainty</w:t>
            </w:r>
          </w:p>
        </w:tc>
      </w:tr>
      <w:tr>
        <w:tc>
          <w:tcPr>
            <w:tcW w:type="dxa" w:w="9360"/>
            <w:tcMar>
              <w:top w:w="80" w:type="dxa"/>
              <w:start w:w="120" w:type="dxa"/>
              <w:bottom w:w="80" w:type="dxa"/>
              <w:end w:w="120" w:type="dxa"/>
            </w:tcMar>
          </w:tcPr>
          <w:p>
            <w:pPr>
              <w:spacing w:before="0" w:after="0"/>
              <w:jc w:val="center"/>
            </w:pPr>
            <w:r>
              <w:rPr>
                <w:rFonts w:ascii="Segoe UI Symbol" w:hAnsi="Segoe UI Symbol" w:eastAsia="Segoe UI Symbol"/>
                <w:b/>
                <w:color w:val="2E74B5"/>
                <w:sz w:val="20"/>
              </w:rPr>
              <w:t>↓</w:t>
            </w:r>
          </w:p>
        </w:tc>
      </w:tr>
      <w:tr>
        <w:tc>
          <w:tcPr>
            <w:tcW w:type="dxa" w:w="9360"/>
            <w:tcMar>
              <w:top w:w="90" w:type="dxa"/>
              <w:start w:w="180" w:type="dxa"/>
              <w:bottom w:w="90" w:type="dxa"/>
              <w:end w:w="180" w:type="dxa"/>
            </w:tcMar>
            <w:shd w:fill="F4F6F9" w:val="clear"/>
            <w:vAlign w:val="center"/>
            <w:tcBorders>
              <w:top w:val="single" w:sz="5" w:color="B8C4D0"/>
              <w:left w:val="single" w:sz="5" w:color="B8C4D0"/>
              <w:bottom w:val="single" w:sz="5" w:color="B8C4D0"/>
              <w:right w:val="single" w:sz="5" w:color="B8C4D0"/>
            </w:tcBorders>
          </w:tcPr>
          <w:p>
            <w:pPr>
              <w:spacing w:after="0"/>
              <w:jc w:val="center"/>
            </w:pPr>
            <w:r>
              <w:rPr>
                <w:rFonts w:ascii="Calibri" w:hAnsi="Calibri" w:eastAsia="Calibri"/>
                <w:b/>
                <w:color w:val="0B2545"/>
                <w:sz w:val="19"/>
              </w:rPr>
              <w:t>6. React review workflow</w:t>
            </w:r>
          </w:p>
        </w:tc>
      </w:tr>
      <w:tr>
        <w:tc>
          <w:tcPr>
            <w:tcW w:type="dxa" w:w="9360"/>
            <w:tcMar>
              <w:top w:w="80" w:type="dxa"/>
              <w:start w:w="120" w:type="dxa"/>
              <w:bottom w:w="80" w:type="dxa"/>
              <w:end w:w="120" w:type="dxa"/>
            </w:tcMar>
          </w:tcPr>
          <w:p>
            <w:pPr>
              <w:spacing w:before="0" w:after="0"/>
              <w:jc w:val="center"/>
            </w:pPr>
            <w:r>
              <w:rPr>
                <w:rFonts w:ascii="Segoe UI Symbol" w:hAnsi="Segoe UI Symbol" w:eastAsia="Segoe UI Symbol"/>
                <w:b/>
                <w:color w:val="2E74B5"/>
                <w:sz w:val="20"/>
              </w:rPr>
              <w:t>↓</w:t>
            </w:r>
          </w:p>
        </w:tc>
      </w:tr>
      <w:tr>
        <w:tc>
          <w:tcPr>
            <w:tcW w:type="dxa" w:w="9360"/>
            <w:tcMar>
              <w:top w:w="90" w:type="dxa"/>
              <w:start w:w="180" w:type="dxa"/>
              <w:bottom w:w="90" w:type="dxa"/>
              <w:end w:w="180" w:type="dxa"/>
            </w:tcMar>
            <w:shd w:fill="E8EEF5" w:val="clear"/>
            <w:vAlign w:val="center"/>
            <w:tcBorders>
              <w:top w:val="single" w:sz="5" w:color="B8C4D0"/>
              <w:left w:val="single" w:sz="5" w:color="B8C4D0"/>
              <w:bottom w:val="single" w:sz="5" w:color="B8C4D0"/>
              <w:right w:val="single" w:sz="5" w:color="B8C4D0"/>
            </w:tcBorders>
          </w:tcPr>
          <w:p>
            <w:pPr>
              <w:spacing w:after="0"/>
              <w:jc w:val="center"/>
            </w:pPr>
            <w:r>
              <w:rPr>
                <w:rFonts w:ascii="Calibri" w:hAnsi="Calibri" w:eastAsia="Calibri"/>
                <w:b/>
                <w:color w:val="0B2545"/>
                <w:sz w:val="19"/>
              </w:rPr>
              <w:t>7. Human disposition and audit trail</w:t>
            </w:r>
          </w:p>
        </w:tc>
      </w:tr>
      <w:tr>
        <w:tc>
          <w:tcPr>
            <w:tcW w:type="dxa" w:w="9360"/>
            <w:tcMar>
              <w:top w:w="80" w:type="dxa"/>
              <w:start w:w="120" w:type="dxa"/>
              <w:bottom w:w="80" w:type="dxa"/>
              <w:end w:w="120" w:type="dxa"/>
            </w:tcMar>
          </w:tcPr>
          <w:p>
            <w:pPr>
              <w:spacing w:before="0" w:after="0"/>
              <w:jc w:val="center"/>
            </w:pPr>
            <w:r>
              <w:rPr>
                <w:rFonts w:ascii="Segoe UI Symbol" w:hAnsi="Segoe UI Symbol" w:eastAsia="Segoe UI Symbol"/>
                <w:b/>
                <w:color w:val="2E74B5"/>
                <w:sz w:val="20"/>
              </w:rPr>
              <w:t>↓</w:t>
            </w:r>
          </w:p>
        </w:tc>
      </w:tr>
      <w:tr>
        <w:tc>
          <w:tcPr>
            <w:tcW w:type="dxa" w:w="9360"/>
            <w:tcMar>
              <w:top w:w="90" w:type="dxa"/>
              <w:start w:w="180" w:type="dxa"/>
              <w:bottom w:w="90" w:type="dxa"/>
              <w:end w:w="180" w:type="dxa"/>
            </w:tcMar>
            <w:shd w:fill="F4F6F9" w:val="clear"/>
            <w:vAlign w:val="center"/>
            <w:tcBorders>
              <w:top w:val="single" w:sz="5" w:color="B8C4D0"/>
              <w:left w:val="single" w:sz="5" w:color="B8C4D0"/>
              <w:bottom w:val="single" w:sz="5" w:color="B8C4D0"/>
              <w:right w:val="single" w:sz="5" w:color="B8C4D0"/>
            </w:tcBorders>
          </w:tcPr>
          <w:p>
            <w:pPr>
              <w:spacing w:after="0"/>
              <w:jc w:val="center"/>
            </w:pPr>
            <w:r>
              <w:rPr>
                <w:rFonts w:ascii="Calibri" w:hAnsi="Calibri" w:eastAsia="Calibri"/>
                <w:b/>
                <w:color w:val="0B2545"/>
                <w:sz w:val="19"/>
              </w:rPr>
              <w:t>8. Offline evaluation and feedback labels</w:t>
            </w:r>
          </w:p>
        </w:tc>
      </w:tr>
    </w:tbl>
    <w:p>
      <w:pPr>
        <w:spacing w:after="20"/>
      </w:pPr>
    </w:p>
    <w:p>
      <w:pPr>
        <w:pStyle w:val="Heading2"/>
      </w:pPr>
      <w:r>
        <w:rPr>
          <w:rFonts w:ascii="Calibri" w:hAnsi="Calibri" w:eastAsia="Calibri"/>
          <w:b/>
        </w:rPr>
        <w:t>Component rationale</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2500"/>
        <w:gridCol w:w="2500"/>
        <w:gridCol w:w="2560"/>
      </w:tblGrid>
      <w:tr>
        <w:trPr>
          <w:tblHeader w:val="true"/>
        </w:trPr>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Component</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Technology choice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Why it exists</w:t>
            </w:r>
          </w:p>
        </w:tc>
        <w:tc>
          <w:tcPr>
            <w:tcW w:type="dxa" w:w="25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What is deliberately avoided</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Synthetic source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Synthea + deterministic JKN/SATUSEHAT adapter</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Privacy-safe, reproducible linked clinical records and injected ground truth</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Scraped or invented “real” JKN records</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Ingestion/API</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Python, FastAPI, Pydantic; a documented FHIR R4 subset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Matches team strength; contract-first; schema and reference validation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Full enterprise FHIR server for the prototype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Canonical store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PostgreSQL with JSONB for raw resources and relational canonical tables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Preserves source payload while enabling reliable queries and audit</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Neo4j or distributed data platform before evidence requires it</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Evidence graph</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In-memory/derived graph using Python/NetworkX; normalized edges persisted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Makes Claim→line→encounter→clinical evidence traceable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GNN as a default model</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Rules engine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Versioned Python predicates returning reason codes and evidence refs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Deterministic, testable checks for known modes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Hidden thresholds in UI code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Similarity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TF-IDF/character n-gram or MinHash baseline; optional multilingual embeddings after baseline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Detects clone-like documentation while preserving a transparent baseline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Vector database unless retrieval scale requires it</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Anomaly model</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Robust peer features + Isolation Forest or Local Outlier Factor baseline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Prioritizes unusual cross-record patterns without pretending to know fraud labels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Deep learning on synthetic labels as headline innovation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Risk aggregation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Calibrated rule/signal combiner with reason-level scores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Produces a queue while retaining individual evidence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One uninterpretable probability</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Frontend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React, TypeScript, accessible component system, ECharts/Recharts; Cytoscape.js only if useful</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Operational queue, evidence timeline, comparison, disposition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Decorative AI chat or many inactive menus</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Audit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Append-only review events in PostgreSQL</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Reproducibility, accountability, later label quality</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Editing historical decisions in place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Evaluation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Python scripts/notebooks producing versioned CSV/JSON/PNG artifacts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Actual evidence for proposal; baseline comparability</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Hand-edited result charts</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Deployment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Docker Compose; local-first demo; optional authorized cloud later</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Stable, network-independent demonstration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Live BPJS/SATUSEHAT connection claims</w:t>
            </w:r>
          </w:p>
        </w:tc>
      </w:tr>
    </w:tbl>
    <w:p>
      <w:pPr>
        <w:spacing w:before="0" w:after="60"/>
      </w:pPr>
    </w:p>
    <w:p>
      <w:pPr>
        <w:pStyle w:val="Heading2"/>
      </w:pPr>
      <w:r>
        <w:rPr>
          <w:rFonts w:ascii="Calibri" w:hAnsi="Calibri" w:eastAsia="Calibri"/>
          <w:b/>
        </w:rPr>
        <w:t>Canonical evidence edges</w:t>
      </w:r>
    </w:p>
    <w:p>
      <w:pPr/>
      <w:r>
        <w:rPr>
          <w:rFonts w:ascii="Calibri" w:hAnsi="Calibri" w:eastAsia="Calibri"/>
          <w:b w:val="0"/>
        </w:rPr>
        <w:t>At minimum, derive and test these edges:</w:t>
      </w:r>
    </w:p>
    <w:p>
      <w:pPr>
        <w:keepLines/>
        <w:spacing w:after="80" w:line="300" w:lineRule="auto"/>
        <w:numPr>
          <w:ilvl w:val="0"/>
          <w:numId w:val="36"/>
        </w:numPr>
      </w:pPr>
      <w:r>
        <w:rPr>
          <w:rFonts w:ascii="Consolas" w:hAnsi="Consolas" w:eastAsia="Consolas"/>
          <w:color w:val="1F4D78"/>
          <w:sz w:val="20"/>
        </w:rPr>
        <w:t>Claim SUPPORTS/CONTAINS ClaimLine</w:t>
      </w:r>
    </w:p>
    <w:p>
      <w:pPr>
        <w:keepLines/>
        <w:spacing w:after="80" w:line="300" w:lineRule="auto"/>
        <w:numPr>
          <w:ilvl w:val="0"/>
          <w:numId w:val="36"/>
        </w:numPr>
      </w:pPr>
      <w:r>
        <w:rPr>
          <w:rFonts w:ascii="Consolas" w:hAnsi="Consolas" w:eastAsia="Consolas"/>
          <w:color w:val="1F4D78"/>
          <w:sz w:val="20"/>
        </w:rPr>
        <w:t>ClaimLine BILLED_FROM ChargeItem</w:t>
      </w:r>
    </w:p>
    <w:p>
      <w:pPr>
        <w:keepLines/>
        <w:spacing w:after="80" w:line="300" w:lineRule="auto"/>
        <w:numPr>
          <w:ilvl w:val="0"/>
          <w:numId w:val="36"/>
        </w:numPr>
      </w:pPr>
      <w:r>
        <w:rPr>
          <w:rFonts w:ascii="Consolas" w:hAnsi="Consolas" w:eastAsia="Consolas"/>
          <w:color w:val="1F4D78"/>
          <w:sz w:val="20"/>
        </w:rPr>
        <w:t>Claim/ClaimLine FOR Encounter</w:t>
      </w:r>
    </w:p>
    <w:p>
      <w:pPr>
        <w:keepLines/>
        <w:spacing w:after="80" w:line="300" w:lineRule="auto"/>
        <w:numPr>
          <w:ilvl w:val="0"/>
          <w:numId w:val="36"/>
        </w:numPr>
      </w:pPr>
      <w:r>
        <w:rPr>
          <w:rFonts w:ascii="Consolas" w:hAnsi="Consolas" w:eastAsia="Consolas"/>
          <w:color w:val="1F4D78"/>
          <w:sz w:val="20"/>
        </w:rPr>
        <w:t>ClaimLine SUPPORTED_BY Procedure | MedicationDispense | Observation | DiagnosticReport</w:t>
      </w:r>
    </w:p>
    <w:p>
      <w:pPr>
        <w:keepLines/>
        <w:spacing w:after="80" w:line="300" w:lineRule="auto"/>
        <w:numPr>
          <w:ilvl w:val="0"/>
          <w:numId w:val="36"/>
        </w:numPr>
      </w:pPr>
      <w:r>
        <w:rPr>
          <w:rFonts w:ascii="Consolas" w:hAnsi="Consolas" w:eastAsia="Consolas"/>
          <w:color w:val="1F4D78"/>
          <w:sz w:val="20"/>
        </w:rPr>
        <w:t>Encounter HAS Condition | Procedure | Medication | Document</w:t>
      </w:r>
    </w:p>
    <w:p>
      <w:pPr>
        <w:keepLines/>
        <w:spacing w:after="80" w:line="300" w:lineRule="auto"/>
        <w:numPr>
          <w:ilvl w:val="0"/>
          <w:numId w:val="36"/>
        </w:numPr>
      </w:pPr>
      <w:r>
        <w:rPr>
          <w:rFonts w:ascii="Consolas" w:hAnsi="Consolas" w:eastAsia="Consolas"/>
          <w:color w:val="1F4D78"/>
          <w:sz w:val="20"/>
        </w:rPr>
        <w:t>Document AUTHORED_BY Practitioner</w:t>
      </w:r>
      <w:r>
        <w:rPr>
          <w:rFonts w:ascii="Calibri" w:hAnsi="Calibri" w:eastAsia="Calibri"/>
          <w:b w:val="0"/>
          <w:sz w:val="21"/>
        </w:rPr>
        <w:t xml:space="preserve"> and </w:t>
      </w:r>
      <w:r>
        <w:rPr>
          <w:rFonts w:ascii="Consolas" w:hAnsi="Consolas" w:eastAsia="Consolas"/>
          <w:color w:val="1F4D78"/>
          <w:sz w:val="20"/>
        </w:rPr>
        <w:t>Document PART_OF Encounter</w:t>
      </w:r>
    </w:p>
    <w:p>
      <w:pPr>
        <w:keepLines/>
        <w:spacing w:after="80" w:line="300" w:lineRule="auto"/>
        <w:numPr>
          <w:ilvl w:val="0"/>
          <w:numId w:val="36"/>
        </w:numPr>
      </w:pPr>
      <w:r>
        <w:rPr>
          <w:rFonts w:ascii="Consolas" w:hAnsi="Consolas" w:eastAsia="Consolas"/>
          <w:color w:val="1F4D78"/>
          <w:sz w:val="20"/>
        </w:rPr>
        <w:t>Claim POSSIBLE_DUPLICATE_OF Claim</w:t>
      </w:r>
    </w:p>
    <w:p>
      <w:pPr>
        <w:keepLines/>
        <w:spacing w:after="80" w:line="300" w:lineRule="auto"/>
        <w:numPr>
          <w:ilvl w:val="0"/>
          <w:numId w:val="36"/>
        </w:numPr>
      </w:pPr>
      <w:r>
        <w:rPr>
          <w:rFonts w:ascii="Consolas" w:hAnsi="Consolas" w:eastAsia="Consolas"/>
          <w:color w:val="1F4D78"/>
          <w:sz w:val="20"/>
        </w:rPr>
        <w:t>Document SIMILAR_TO Document</w:t>
      </w:r>
    </w:p>
    <w:p>
      <w:pPr>
        <w:keepLines/>
        <w:spacing w:after="80" w:line="300" w:lineRule="auto"/>
        <w:numPr>
          <w:ilvl w:val="0"/>
          <w:numId w:val="36"/>
        </w:numPr>
      </w:pPr>
      <w:r>
        <w:rPr>
          <w:rFonts w:ascii="Consolas" w:hAnsi="Consolas" w:eastAsia="Consolas"/>
          <w:color w:val="1F4D78"/>
          <w:sz w:val="20"/>
        </w:rPr>
        <w:t>Claim PART_OF Episode</w:t>
      </w:r>
    </w:p>
    <w:p>
      <w:pPr/>
      <w:r>
        <w:rPr>
          <w:rFonts w:ascii="Calibri" w:hAnsi="Calibri" w:eastAsia="Calibri"/>
          <w:b w:val="0"/>
        </w:rPr>
        <w:t>Every edge stores source resource IDs, derivation rule, version, and confidence if inferred.</w:t>
      </w:r>
    </w:p>
    <w:p>
      <w:pPr>
        <w:pStyle w:val="Heading2"/>
      </w:pPr>
      <w:r>
        <w:rPr>
          <w:rFonts w:ascii="Calibri" w:hAnsi="Calibri" w:eastAsia="Calibri"/>
          <w:b/>
        </w:rPr>
        <w:t>Minimal API contracts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2500"/>
        <w:gridCol w:w="2500"/>
        <w:gridCol w:w="2560"/>
      </w:tblGrid>
      <w:tr>
        <w:trPr>
          <w:tblHeader w:val="true"/>
        </w:trPr>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Endpoint</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Input</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Output</w:t>
            </w:r>
          </w:p>
        </w:tc>
        <w:tc>
          <w:tcPr>
            <w:tcW w:type="dxa" w:w="25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Key constraints</w:t>
            </w:r>
          </w:p>
        </w:tc>
      </w:tr>
      <w:tr>
        <w:trPr>
          <w:cantSplit/>
        </w:trPr>
        <w:tc>
          <w:tcPr>
            <w:tcW w:type="dxa" w:w="1800"/>
            <w:tcMar>
              <w:top w:w="80" w:type="dxa"/>
              <w:start w:w="120" w:type="dxa"/>
              <w:bottom w:w="80" w:type="dxa"/>
              <w:end w:w="120" w:type="dxa"/>
            </w:tcMar>
            <w:vAlign w:val="top"/>
          </w:tcPr>
          <w:p>
            <w:pPr>
              <w:spacing w:before="0" w:after="0" w:line="240" w:lineRule="auto"/>
            </w:pPr>
            <w:r>
              <w:rPr>
                <w:rFonts w:ascii="Consolas" w:hAnsi="Consolas" w:eastAsia="Consolas"/>
                <w:color w:val="1F4D78"/>
                <w:sz w:val="15"/>
              </w:rPr>
              <w:t>POST /v1/bundles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JSON synthetic bundle; optional scenario label for demo only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ingestion ID, validation status, resource counts, errors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Scenario label must never enter detector features</w:t>
            </w:r>
          </w:p>
        </w:tc>
      </w:tr>
      <w:tr>
        <w:trPr>
          <w:cantSplit/>
        </w:trPr>
        <w:tc>
          <w:tcPr>
            <w:tcW w:type="dxa" w:w="1800"/>
            <w:tcMar>
              <w:top w:w="80" w:type="dxa"/>
              <w:start w:w="120" w:type="dxa"/>
              <w:bottom w:w="80" w:type="dxa"/>
              <w:end w:w="120" w:type="dxa"/>
            </w:tcMar>
            <w:vAlign w:val="top"/>
          </w:tcPr>
          <w:p>
            <w:pPr>
              <w:spacing w:before="0" w:after="0" w:line="240" w:lineRule="auto"/>
            </w:pPr>
            <w:r>
              <w:rPr>
                <w:rFonts w:ascii="Consolas" w:hAnsi="Consolas" w:eastAsia="Consolas"/>
                <w:color w:val="1F4D78"/>
                <w:sz w:val="15"/>
              </w:rPr>
              <w:t>POST /v1/bundles/{id}/screen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ingestion ID, engine version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case ID, reason codes, scores/bands, evidence refs, latency</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Idempotent for same input hash + version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onsolas" w:hAnsi="Consolas" w:eastAsia="Consolas"/>
                <w:color w:val="1F4D78"/>
                <w:sz w:val="15"/>
              </w:rPr>
              <w:t>GET /v1/cases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state, reason, priority, date filters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paginated queue summary</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Pseudonymous fields only</w:t>
            </w:r>
          </w:p>
        </w:tc>
      </w:tr>
      <w:tr>
        <w:trPr>
          <w:cantSplit/>
        </w:trPr>
        <w:tc>
          <w:tcPr>
            <w:tcW w:type="dxa" w:w="1800"/>
            <w:tcMar>
              <w:top w:w="80" w:type="dxa"/>
              <w:start w:w="120" w:type="dxa"/>
              <w:bottom w:w="80" w:type="dxa"/>
              <w:end w:w="120" w:type="dxa"/>
            </w:tcMar>
            <w:vAlign w:val="top"/>
          </w:tcPr>
          <w:p>
            <w:pPr>
              <w:spacing w:before="0" w:after="0" w:line="240" w:lineRule="auto"/>
            </w:pPr>
            <w:r>
              <w:rPr>
                <w:rFonts w:ascii="Consolas" w:hAnsi="Consolas" w:eastAsia="Consolas"/>
                <w:color w:val="1F4D78"/>
                <w:sz w:val="15"/>
              </w:rPr>
              <w:t>GET /v1/cases/{id}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case ID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claim lines, reasons, graph/timeline, comparisons, counter-evidence, versions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No raw sensitive text in list response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onsolas" w:hAnsi="Consolas" w:eastAsia="Consolas"/>
                <w:color w:val="1F4D78"/>
                <w:sz w:val="15"/>
              </w:rPr>
              <w:t>POST /v1/cases/{id}/dispositions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action, reason, expected case version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immutable event and new state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Optimistic locking; reason required</w:t>
            </w:r>
          </w:p>
        </w:tc>
      </w:tr>
      <w:tr>
        <w:trPr>
          <w:cantSplit/>
        </w:trPr>
        <w:tc>
          <w:tcPr>
            <w:tcW w:type="dxa" w:w="1800"/>
            <w:tcMar>
              <w:top w:w="80" w:type="dxa"/>
              <w:start w:w="120" w:type="dxa"/>
              <w:bottom w:w="80" w:type="dxa"/>
              <w:end w:w="120" w:type="dxa"/>
            </w:tcMar>
            <w:vAlign w:val="top"/>
          </w:tcPr>
          <w:p>
            <w:pPr>
              <w:spacing w:before="0" w:after="0" w:line="240" w:lineRule="auto"/>
            </w:pPr>
            <w:r>
              <w:rPr>
                <w:rFonts w:ascii="Consolas" w:hAnsi="Consolas" w:eastAsia="Consolas"/>
                <w:color w:val="1F4D78"/>
                <w:sz w:val="15"/>
              </w:rPr>
              <w:t>GET /v1/cases/{id}/audit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case ID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ordered audit events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Authorized role only</w:t>
            </w:r>
          </w:p>
        </w:tc>
      </w:tr>
      <w:tr>
        <w:trPr>
          <w:cantSplit/>
        </w:trPr>
        <w:tc>
          <w:tcPr>
            <w:tcW w:type="dxa" w:w="1800"/>
            <w:tcMar>
              <w:top w:w="80" w:type="dxa"/>
              <w:start w:w="120" w:type="dxa"/>
              <w:bottom w:w="80" w:type="dxa"/>
              <w:end w:w="120" w:type="dxa"/>
            </w:tcMar>
            <w:vAlign w:val="top"/>
          </w:tcPr>
          <w:p>
            <w:pPr>
              <w:spacing w:before="0" w:after="0" w:line="240" w:lineRule="auto"/>
            </w:pPr>
            <w:r>
              <w:rPr>
                <w:rFonts w:ascii="Consolas" w:hAnsi="Consolas" w:eastAsia="Consolas"/>
                <w:color w:val="1F4D78"/>
                <w:sz w:val="15"/>
              </w:rPr>
              <w:t>GET /v1/evaluations/{run_id}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run ID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dataset/model versions, metrics, artifacts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Synthetic label displayed prominently</w:t>
            </w:r>
          </w:p>
        </w:tc>
      </w:tr>
    </w:tbl>
    <w:p>
      <w:pPr>
        <w:spacing w:before="0" w:after="60"/>
      </w:pPr>
    </w:p>
    <w:p>
      <w:pPr>
        <w:pStyle w:val="Heading2"/>
      </w:pPr>
      <w:r>
        <w:rPr>
          <w:rFonts w:ascii="Calibri" w:hAnsi="Calibri" w:eastAsia="Calibri"/>
          <w:b/>
        </w:rPr>
        <w:t>Security and observability by design</w:t>
      </w:r>
    </w:p>
    <w:p>
      <w:pPr>
        <w:keepLines/>
        <w:spacing w:after="80" w:line="300" w:lineRule="auto"/>
        <w:numPr>
          <w:ilvl w:val="0"/>
          <w:numId w:val="37"/>
        </w:numPr>
      </w:pPr>
      <w:r>
        <w:rPr>
          <w:rFonts w:ascii="Calibri" w:hAnsi="Calibri" w:eastAsia="Calibri"/>
          <w:b w:val="0"/>
          <w:sz w:val="21"/>
        </w:rPr>
        <w:t>Pseudonymous participant/provider IDs in UI; raw source identifiers never required.</w:t>
      </w:r>
    </w:p>
    <w:p>
      <w:pPr>
        <w:keepLines/>
        <w:spacing w:after="80" w:line="300" w:lineRule="auto"/>
        <w:numPr>
          <w:ilvl w:val="0"/>
          <w:numId w:val="37"/>
        </w:numPr>
      </w:pPr>
      <w:r>
        <w:rPr>
          <w:rFonts w:ascii="Calibri" w:hAnsi="Calibri" w:eastAsia="Calibri"/>
          <w:b w:val="0"/>
          <w:sz w:val="21"/>
        </w:rPr>
        <w:t>Role model: analyst, senior reviewer, administrator; prototype may simulate roles but must document production enforcement.</w:t>
      </w:r>
    </w:p>
    <w:p>
      <w:pPr>
        <w:keepLines/>
        <w:spacing w:after="80" w:line="300" w:lineRule="auto"/>
        <w:numPr>
          <w:ilvl w:val="0"/>
          <w:numId w:val="37"/>
        </w:numPr>
      </w:pPr>
      <w:r>
        <w:rPr>
          <w:rFonts w:ascii="Calibri" w:hAnsi="Calibri" w:eastAsia="Calibri"/>
          <w:b w:val="0"/>
          <w:sz w:val="21"/>
        </w:rPr>
        <w:t>TLS and encryption at rest are production requirements; local demo stores only synthetic data.</w:t>
      </w:r>
    </w:p>
    <w:p>
      <w:pPr>
        <w:keepLines/>
        <w:spacing w:after="80" w:line="300" w:lineRule="auto"/>
        <w:numPr>
          <w:ilvl w:val="0"/>
          <w:numId w:val="37"/>
        </w:numPr>
      </w:pPr>
      <w:r>
        <w:rPr>
          <w:rFonts w:ascii="Calibri" w:hAnsi="Calibri" w:eastAsia="Calibri"/>
          <w:b w:val="0"/>
          <w:sz w:val="21"/>
        </w:rPr>
        <w:t>Logs record request IDs, latency, errors, rule/model/schema versions, and counts—not raw medical text.</w:t>
      </w:r>
    </w:p>
    <w:p>
      <w:pPr>
        <w:keepLines/>
        <w:spacing w:after="80" w:line="300" w:lineRule="auto"/>
        <w:numPr>
          <w:ilvl w:val="0"/>
          <w:numId w:val="37"/>
        </w:numPr>
      </w:pPr>
      <w:r>
        <w:rPr>
          <w:rFonts w:ascii="Calibri" w:hAnsi="Calibri" w:eastAsia="Calibri"/>
          <w:b w:val="0"/>
          <w:sz w:val="21"/>
        </w:rPr>
        <w:t>Input size/type limits, JSON depth control, malware-safe file handling, and strict content type.</w:t>
      </w:r>
    </w:p>
    <w:p>
      <w:pPr>
        <w:keepLines/>
        <w:spacing w:after="80" w:line="300" w:lineRule="auto"/>
        <w:numPr>
          <w:ilvl w:val="0"/>
          <w:numId w:val="37"/>
        </w:numPr>
      </w:pPr>
      <w:r>
        <w:rPr>
          <w:rFonts w:ascii="Calibri" w:hAnsi="Calibri" w:eastAsia="Calibri"/>
          <w:b w:val="0"/>
          <w:sz w:val="21"/>
        </w:rPr>
        <w:t>No arbitrary code execution or prompt ingestion from uploaded bundles.</w:t>
      </w:r>
    </w:p>
    <w:p>
      <w:pPr>
        <w:keepLines/>
        <w:spacing w:after="80" w:line="300" w:lineRule="auto"/>
        <w:numPr>
          <w:ilvl w:val="0"/>
          <w:numId w:val="37"/>
        </w:numPr>
      </w:pPr>
      <w:r>
        <w:rPr>
          <w:rFonts w:ascii="Calibri" w:hAnsi="Calibri" w:eastAsia="Calibri"/>
          <w:b w:val="0"/>
          <w:sz w:val="21"/>
        </w:rPr>
        <w:t>Deterministic input hash makes results reproducible.</w:t>
      </w:r>
    </w:p>
    <w:p>
      <w:pPr>
        <w:keepLines/>
        <w:spacing w:after="80" w:line="300" w:lineRule="auto"/>
        <w:numPr>
          <w:ilvl w:val="0"/>
          <w:numId w:val="37"/>
        </w:numPr>
      </w:pPr>
      <w:r>
        <w:rPr>
          <w:rFonts w:ascii="Calibri" w:hAnsi="Calibri" w:eastAsia="Calibri"/>
          <w:b w:val="0"/>
          <w:sz w:val="21"/>
        </w:rPr>
        <w:t>Health checks and seeded demo reset make the live demo reliable.</w:t>
      </w:r>
    </w:p>
    <w:p>
      <w:pPr>
        <w:pStyle w:val="Heading1"/>
        <w:pageBreakBefore/>
      </w:pPr>
      <w:r>
        <w:rPr>
          <w:rFonts w:ascii="Calibri" w:hAnsi="Calibri" w:eastAsia="Calibri"/>
          <w:b/>
        </w:rPr>
        <w:t>12. AI/Model Strategy</w:t>
      </w:r>
    </w:p>
    <w:p>
      <w:pPr>
        <w:pStyle w:val="Heading2"/>
      </w:pPr>
      <w:r>
        <w:rPr>
          <w:rFonts w:ascii="Calibri" w:hAnsi="Calibri" w:eastAsia="Calibri"/>
          <w:b/>
        </w:rPr>
        <w:t>Decision: AI where it earns its place</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Possible role</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Decision</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Rationale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Core detection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No LLM.</w:t>
            </w:r>
            <w:r>
              <w:rPr>
                <w:rFonts w:ascii="Calibri" w:hAnsi="Calibri" w:eastAsia="Calibri"/>
                <w:b w:val="0"/>
                <w:color w:val="0B2545"/>
                <w:sz w:val="17"/>
              </w:rPr>
              <w:t xml:space="preserve"> Use rules + similarity/anomaly methods.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Risk signals must be repeatable, evidence-bound, and testable.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Explainability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Structured reason templates first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“Line X lacks Procedure Y” is clearer than generated prose.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Evidence summarization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Optional LLM after core works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Appropriate only for concise synthesis of supplied structured evidence with citations to resources.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Investigation assistance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Optional, non-authoritative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May suggest questions or missing evidence; never change score/disposition.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Policy reasoning</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Retrieval may support lookup; human decides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Regulations and coding context can change and require expert interpretation.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Diagnosis/medical necessity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Out of scope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No clinical expert, real data, or validated diagnostic pathway.</w:t>
            </w:r>
          </w:p>
        </w:tc>
      </w:tr>
    </w:tbl>
    <w:p>
      <w:pPr>
        <w:spacing w:before="0" w:after="60"/>
      </w:pPr>
    </w:p>
    <w:p>
      <w:pPr>
        <w:pStyle w:val="Heading2"/>
      </w:pPr>
      <w:r>
        <w:rPr>
          <w:rFonts w:ascii="Calibri" w:hAnsi="Calibri" w:eastAsia="Calibri"/>
          <w:b/>
        </w:rPr>
        <w:t>Detector design by mode</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2500"/>
        <w:gridCol w:w="2500"/>
        <w:gridCol w:w="2560"/>
      </w:tblGrid>
      <w:tr>
        <w:trPr>
          <w:tblHeader w:val="true"/>
        </w:trPr>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Mode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Transparent baseline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Hybrid enhancement</w:t>
            </w:r>
          </w:p>
        </w:tc>
        <w:tc>
          <w:tcPr>
            <w:tcW w:type="dxa" w:w="25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Required explanation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Phantom / billed-not-evidenced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Exact/terminology-mapped line-to-resource match; status/time rules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Peer-level anomaly on evidence completeness and service combination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Unsupported line; expected evidence type; searched resources; possible counter-evidence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Repeat billing</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Exact claim/episode fingerprint and overlap rules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Weighted record linkage for near-duplicates with changed fields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Candidate pair; matched/different fields; time/amount overlap</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Cloning</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Character n-gram TF-IDF or MinHash similarity above validated threshold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Multilingual sentence embedding and service-sequence similarity, only if incremental value exists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Similarity components and matched fragments; templating caveat</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Unbundling</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Same participant/provider, adjacent time, shared diagnosis/episode, split service rules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Graph/temporal anomaly score for unusual episode fragmentation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Timeline, shared context, split lines/amounts, exceptions</w:t>
            </w:r>
          </w:p>
        </w:tc>
      </w:tr>
    </w:tbl>
    <w:p>
      <w:pPr>
        <w:spacing w:before="0" w:after="60"/>
      </w:pPr>
    </w:p>
    <w:p>
      <w:pPr>
        <w:pStyle w:val="Heading2"/>
      </w:pPr>
      <w:r>
        <w:rPr>
          <w:rFonts w:ascii="Calibri" w:hAnsi="Calibri" w:eastAsia="Calibri"/>
          <w:b/>
        </w:rPr>
        <w:t>Feature families</w:t>
      </w:r>
    </w:p>
    <w:p>
      <w:pPr>
        <w:keepLines/>
        <w:spacing w:after="80" w:line="300" w:lineRule="auto"/>
        <w:numPr>
          <w:ilvl w:val="0"/>
          <w:numId w:val="38"/>
        </w:numPr>
      </w:pPr>
      <w:r>
        <w:rPr>
          <w:rFonts w:ascii="Calibri" w:hAnsi="Calibri" w:eastAsia="Calibri"/>
          <w:b/>
          <w:sz w:val="21"/>
        </w:rPr>
        <w:t>Evidence completeness:</w:t>
      </w:r>
      <w:r>
        <w:rPr>
          <w:rFonts w:ascii="Calibri" w:hAnsi="Calibri" w:eastAsia="Calibri"/>
          <w:b w:val="0"/>
          <w:sz w:val="21"/>
        </w:rPr>
        <w:t xml:space="preserve"> supported billed-line ratio, missing reference count, invalid status/timestamp count.</w:t>
      </w:r>
    </w:p>
    <w:p>
      <w:pPr>
        <w:keepLines/>
        <w:spacing w:after="80" w:line="300" w:lineRule="auto"/>
        <w:numPr>
          <w:ilvl w:val="0"/>
          <w:numId w:val="38"/>
        </w:numPr>
      </w:pPr>
      <w:r>
        <w:rPr>
          <w:rFonts w:ascii="Calibri" w:hAnsi="Calibri" w:eastAsia="Calibri"/>
          <w:b/>
          <w:sz w:val="21"/>
        </w:rPr>
        <w:t>Episode integrity:</w:t>
      </w:r>
      <w:r>
        <w:rPr>
          <w:rFonts w:ascii="Calibri" w:hAnsi="Calibri" w:eastAsia="Calibri"/>
          <w:b w:val="0"/>
          <w:sz w:val="21"/>
        </w:rPr>
        <w:t xml:space="preserve"> overlapping encounters/claims, gap between related claims, repeated claim-line fingerprints.</w:t>
      </w:r>
    </w:p>
    <w:p>
      <w:pPr>
        <w:keepLines/>
        <w:spacing w:after="80" w:line="300" w:lineRule="auto"/>
        <w:numPr>
          <w:ilvl w:val="0"/>
          <w:numId w:val="38"/>
        </w:numPr>
      </w:pPr>
      <w:r>
        <w:rPr>
          <w:rFonts w:ascii="Calibri" w:hAnsi="Calibri" w:eastAsia="Calibri"/>
          <w:b/>
          <w:sz w:val="21"/>
        </w:rPr>
        <w:t>Similarity:</w:t>
      </w:r>
      <w:r>
        <w:rPr>
          <w:rFonts w:ascii="Calibri" w:hAnsi="Calibri" w:eastAsia="Calibri"/>
          <w:b w:val="0"/>
          <w:sz w:val="21"/>
        </w:rPr>
        <w:t xml:space="preserve"> note n-grams, procedure/diagnosis set similarity, service-sequence edit distance.</w:t>
      </w:r>
    </w:p>
    <w:p>
      <w:pPr>
        <w:keepLines/>
        <w:spacing w:after="80" w:line="300" w:lineRule="auto"/>
        <w:numPr>
          <w:ilvl w:val="0"/>
          <w:numId w:val="38"/>
        </w:numPr>
      </w:pPr>
      <w:r>
        <w:rPr>
          <w:rFonts w:ascii="Calibri" w:hAnsi="Calibri" w:eastAsia="Calibri"/>
          <w:b/>
          <w:sz w:val="21"/>
        </w:rPr>
        <w:t>Peer context:</w:t>
      </w:r>
      <w:r>
        <w:rPr>
          <w:rFonts w:ascii="Calibri" w:hAnsi="Calibri" w:eastAsia="Calibri"/>
          <w:b w:val="0"/>
          <w:sz w:val="21"/>
        </w:rPr>
        <w:t xml:space="preserve"> provider/service-frequency deviations within a synthetic peer group.</w:t>
      </w:r>
    </w:p>
    <w:p>
      <w:pPr>
        <w:keepLines/>
        <w:spacing w:after="80" w:line="300" w:lineRule="auto"/>
        <w:numPr>
          <w:ilvl w:val="0"/>
          <w:numId w:val="38"/>
        </w:numPr>
      </w:pPr>
      <w:r>
        <w:rPr>
          <w:rFonts w:ascii="Calibri" w:hAnsi="Calibri" w:eastAsia="Calibri"/>
          <w:b/>
          <w:sz w:val="21"/>
        </w:rPr>
        <w:t>Provenance:</w:t>
      </w:r>
      <w:r>
        <w:rPr>
          <w:rFonts w:ascii="Calibri" w:hAnsi="Calibri" w:eastAsia="Calibri"/>
          <w:b w:val="0"/>
          <w:sz w:val="21"/>
        </w:rPr>
        <w:t xml:space="preserve"> conflicting updates, missing authorship/time, bundle version inconsistencies.</w:t>
      </w:r>
    </w:p>
    <w:p>
      <w:pPr>
        <w:keepLines/>
        <w:spacing w:after="80" w:line="300" w:lineRule="auto"/>
        <w:numPr>
          <w:ilvl w:val="0"/>
          <w:numId w:val="38"/>
        </w:numPr>
      </w:pPr>
      <w:r>
        <w:rPr>
          <w:rFonts w:ascii="Calibri" w:hAnsi="Calibri" w:eastAsia="Calibri"/>
          <w:b/>
          <w:sz w:val="21"/>
        </w:rPr>
        <w:t>Amount/quantity:</w:t>
      </w:r>
      <w:r>
        <w:rPr>
          <w:rFonts w:ascii="Calibri" w:hAnsi="Calibri" w:eastAsia="Calibri"/>
          <w:b w:val="0"/>
          <w:sz w:val="21"/>
        </w:rPr>
        <w:t xml:space="preserve"> reconciliation deltas; all amounts are synthetic and illustrative.</w:t>
      </w:r>
    </w:p>
    <w:p>
      <w:pPr/>
      <w:r>
        <w:rPr>
          <w:rFonts w:ascii="Calibri" w:hAnsi="Calibri" w:eastAsia="Calibri"/>
          <w:b w:val="0"/>
        </w:rPr>
        <w:t>Exclude protected or sensitive characteristics from scoring unless an authorized fairness analysis later establishes a legitimate purpose. Demographics are not necessary for the four core modes.</w:t>
      </w:r>
    </w:p>
    <w:p>
      <w:pPr>
        <w:pStyle w:val="Heading2"/>
      </w:pPr>
      <w:r>
        <w:rPr>
          <w:rFonts w:ascii="Calibri" w:hAnsi="Calibri" w:eastAsia="Calibri"/>
          <w:b/>
        </w:rPr>
        <w:t>Risk aggregation</w:t>
      </w:r>
    </w:p>
    <w:p>
      <w:pPr/>
      <w:r>
        <w:rPr>
          <w:rFonts w:ascii="Calibri" w:hAnsi="Calibri" w:eastAsia="Calibri"/>
          <w:b w:val="0"/>
        </w:rPr>
        <w:t>Return a vector of reason-level evidence, not only a scalar. A simple prototype combiner is sufficient:</w:t>
      </w:r>
    </w:p>
    <w:p>
      <w:pPr/>
      <w:r>
        <w:rPr>
          <w:rFonts w:ascii="Consolas" w:hAnsi="Consolas" w:eastAsia="Consolas"/>
          <w:color w:val="1F4D78"/>
          <w:sz w:val="19"/>
        </w:rPr>
        <w:t>priority = max(deterministic_reason_priority, calibrated_similarity_score, calibrated_anomaly_score)</w:t>
      </w:r>
    </w:p>
    <w:p>
      <w:pPr/>
      <w:r>
        <w:rPr>
          <w:rFonts w:ascii="Calibri" w:hAnsi="Calibri" w:eastAsia="Calibri"/>
          <w:b w:val="0"/>
        </w:rPr>
        <w:t>Apply caps and gates:</w:t>
      </w:r>
    </w:p>
    <w:p>
      <w:pPr>
        <w:keepLines/>
        <w:spacing w:after="80" w:line="300" w:lineRule="auto"/>
        <w:numPr>
          <w:ilvl w:val="0"/>
          <w:numId w:val="39"/>
        </w:numPr>
      </w:pPr>
      <w:r>
        <w:rPr>
          <w:rFonts w:ascii="Calibri" w:hAnsi="Calibri" w:eastAsia="Calibri"/>
          <w:b w:val="0"/>
          <w:sz w:val="21"/>
        </w:rPr>
        <w:t>no high-priority band from text similarity alone;</w:t>
      </w:r>
    </w:p>
    <w:p>
      <w:pPr>
        <w:keepLines/>
        <w:spacing w:after="80" w:line="300" w:lineRule="auto"/>
        <w:numPr>
          <w:ilvl w:val="0"/>
          <w:numId w:val="39"/>
        </w:numPr>
      </w:pPr>
      <w:r>
        <w:rPr>
          <w:rFonts w:ascii="Calibri" w:hAnsi="Calibri" w:eastAsia="Calibri"/>
          <w:b w:val="0"/>
          <w:sz w:val="21"/>
        </w:rPr>
        <w:t>missing evidence plus an incomplete bundle lowers certainty and triggers “request evidence,” not “confirm anomaly”;</w:t>
      </w:r>
    </w:p>
    <w:p>
      <w:pPr>
        <w:keepLines/>
        <w:spacing w:after="80" w:line="300" w:lineRule="auto"/>
        <w:numPr>
          <w:ilvl w:val="0"/>
          <w:numId w:val="39"/>
        </w:numPr>
      </w:pPr>
      <w:r>
        <w:rPr>
          <w:rFonts w:ascii="Calibri" w:hAnsi="Calibri" w:eastAsia="Calibri"/>
          <w:b w:val="0"/>
          <w:sz w:val="21"/>
        </w:rPr>
        <w:t>exact duplicate fingerprint is high priority but still human-reviewed;</w:t>
      </w:r>
    </w:p>
    <w:p>
      <w:pPr>
        <w:keepLines/>
        <w:spacing w:after="80" w:line="300" w:lineRule="auto"/>
        <w:numPr>
          <w:ilvl w:val="0"/>
          <w:numId w:val="39"/>
        </w:numPr>
      </w:pPr>
      <w:r>
        <w:rPr>
          <w:rFonts w:ascii="Calibri" w:hAnsi="Calibri" w:eastAsia="Calibri"/>
          <w:b w:val="0"/>
          <w:sz w:val="21"/>
        </w:rPr>
        <w:t>store all component scores and versions.</w:t>
      </w:r>
    </w:p>
    <w:p>
      <w:pPr/>
      <w:r>
        <w:rPr>
          <w:rFonts w:ascii="Calibri" w:hAnsi="Calibri" w:eastAsia="Calibri"/>
          <w:b w:val="0"/>
        </w:rPr>
        <w:t>If a learned combiner is used, compare it to this simple baseline and remove it if it adds no meaningful value.</w:t>
      </w:r>
    </w:p>
    <w:p>
      <w:pPr>
        <w:pStyle w:val="Heading2"/>
      </w:pPr>
      <w:r>
        <w:rPr>
          <w:rFonts w:ascii="Calibri" w:hAnsi="Calibri" w:eastAsia="Calibri"/>
          <w:b/>
        </w:rPr>
        <w:t>Optional LLM guardrails</w:t>
      </w:r>
    </w:p>
    <w:p>
      <w:pPr/>
      <w:r>
        <w:rPr>
          <w:rFonts w:ascii="Calibri" w:hAnsi="Calibri" w:eastAsia="Calibri"/>
          <w:b w:val="0"/>
        </w:rPr>
        <w:t>The MVP does not require an LLM. If time remains after Gate 6, an optional summary may be added with these controls:</w:t>
      </w:r>
    </w:p>
    <w:p>
      <w:pPr>
        <w:keepLines/>
        <w:spacing w:after="80" w:line="300" w:lineRule="auto"/>
        <w:numPr>
          <w:ilvl w:val="0"/>
          <w:numId w:val="40"/>
        </w:numPr>
      </w:pPr>
      <w:r>
        <w:rPr>
          <w:rFonts w:ascii="Calibri" w:hAnsi="Calibri" w:eastAsia="Calibri"/>
          <w:b w:val="0"/>
          <w:sz w:val="21"/>
        </w:rPr>
        <w:t>structured JSON evidence only; no direct raw-record prompt by default;</w:t>
      </w:r>
    </w:p>
    <w:p>
      <w:pPr>
        <w:keepLines/>
        <w:spacing w:after="80" w:line="300" w:lineRule="auto"/>
        <w:numPr>
          <w:ilvl w:val="0"/>
          <w:numId w:val="40"/>
        </w:numPr>
      </w:pPr>
      <w:r>
        <w:rPr>
          <w:rFonts w:ascii="Calibri" w:hAnsi="Calibri" w:eastAsia="Calibri"/>
          <w:b w:val="0"/>
          <w:sz w:val="21"/>
        </w:rPr>
        <w:t>local or approved deployment; no sensitive data sent to a third party;</w:t>
      </w:r>
    </w:p>
    <w:p>
      <w:pPr>
        <w:keepLines/>
        <w:spacing w:after="80" w:line="300" w:lineRule="auto"/>
        <w:numPr>
          <w:ilvl w:val="0"/>
          <w:numId w:val="40"/>
        </w:numPr>
      </w:pPr>
      <w:r>
        <w:rPr>
          <w:rFonts w:ascii="Calibri" w:hAnsi="Calibri" w:eastAsia="Calibri"/>
          <w:b w:val="0"/>
          <w:sz w:val="21"/>
        </w:rPr>
        <w:t>maximum 5-sentence output with inline resource IDs;</w:t>
      </w:r>
    </w:p>
    <w:p>
      <w:pPr>
        <w:keepLines/>
        <w:spacing w:after="80" w:line="300" w:lineRule="auto"/>
        <w:numPr>
          <w:ilvl w:val="0"/>
          <w:numId w:val="40"/>
        </w:numPr>
      </w:pPr>
      <w:r>
        <w:rPr>
          <w:rFonts w:ascii="Calibri" w:hAnsi="Calibri" w:eastAsia="Calibri"/>
          <w:b w:val="0"/>
          <w:sz w:val="21"/>
        </w:rPr>
        <w:t>fixed instruction to state uncertainty and never use “fraud” as a finding;</w:t>
      </w:r>
    </w:p>
    <w:p>
      <w:pPr>
        <w:keepLines/>
        <w:spacing w:after="80" w:line="300" w:lineRule="auto"/>
        <w:numPr>
          <w:ilvl w:val="0"/>
          <w:numId w:val="40"/>
        </w:numPr>
      </w:pPr>
      <w:r>
        <w:rPr>
          <w:rFonts w:ascii="Calibri" w:hAnsi="Calibri" w:eastAsia="Calibri"/>
          <w:b w:val="0"/>
          <w:sz w:val="21"/>
        </w:rPr>
        <w:t>reject output containing unsupported resource IDs or numbers;</w:t>
      </w:r>
    </w:p>
    <w:p>
      <w:pPr>
        <w:keepLines/>
        <w:spacing w:after="80" w:line="300" w:lineRule="auto"/>
        <w:numPr>
          <w:ilvl w:val="0"/>
          <w:numId w:val="40"/>
        </w:numPr>
      </w:pPr>
      <w:r>
        <w:rPr>
          <w:rFonts w:ascii="Calibri" w:hAnsi="Calibri" w:eastAsia="Calibri"/>
          <w:b w:val="0"/>
          <w:sz w:val="21"/>
        </w:rPr>
        <w:t>deterministic template fallback;</w:t>
      </w:r>
    </w:p>
    <w:p>
      <w:pPr>
        <w:keepLines/>
        <w:spacing w:after="80" w:line="300" w:lineRule="auto"/>
        <w:numPr>
          <w:ilvl w:val="0"/>
          <w:numId w:val="40"/>
        </w:numPr>
      </w:pPr>
      <w:r>
        <w:rPr>
          <w:rFonts w:ascii="Calibri" w:hAnsi="Calibri" w:eastAsia="Calibri"/>
          <w:b w:val="0"/>
          <w:sz w:val="21"/>
        </w:rPr>
        <w:t>human sees the raw reasons beside the summary;</w:t>
      </w:r>
    </w:p>
    <w:p>
      <w:pPr>
        <w:keepLines/>
        <w:spacing w:after="80" w:line="300" w:lineRule="auto"/>
        <w:numPr>
          <w:ilvl w:val="0"/>
          <w:numId w:val="40"/>
        </w:numPr>
      </w:pPr>
      <w:r>
        <w:rPr>
          <w:rFonts w:ascii="Calibri" w:hAnsi="Calibri" w:eastAsia="Calibri"/>
          <w:b w:val="0"/>
          <w:sz w:val="21"/>
        </w:rPr>
        <w:t>LLM output never feeds the score or status transition.</w:t>
      </w:r>
    </w:p>
    <w:p>
      <w:pPr>
        <w:pStyle w:val="Heading2"/>
      </w:pPr>
      <w:r>
        <w:rPr>
          <w:rFonts w:ascii="Calibri" w:hAnsi="Calibri" w:eastAsia="Calibri"/>
          <w:b/>
        </w:rPr>
        <w:t>Model/version artifacts</w:t>
      </w:r>
    </w:p>
    <w:p>
      <w:pPr/>
      <w:r>
        <w:rPr>
          <w:rFonts w:ascii="Calibri" w:hAnsi="Calibri" w:eastAsia="Calibri"/>
          <w:b w:val="0"/>
        </w:rPr>
        <w:t>Every evaluation run records dataset hash, generator version, split manifest, feature version, rule version, model hyperparameters, threshold logic, code commit, environment, and result artifact hashes. A model card must state intended use, prohibited use, data, metrics, limitations, fairness considerations, human oversight, and monitoring plan.</w:t>
      </w:r>
    </w:p>
    <w:p>
      <w:pPr>
        <w:pStyle w:val="Heading1"/>
        <w:pageBreakBefore/>
      </w:pPr>
      <w:r>
        <w:rPr>
          <w:rFonts w:ascii="Calibri" w:hAnsi="Calibri" w:eastAsia="Calibri"/>
          <w:b/>
        </w:rPr>
        <w:t>13. MVP Scope</w:t>
      </w:r>
    </w:p>
    <w:p>
      <w:pPr>
        <w:pStyle w:val="Heading2"/>
      </w:pPr>
      <w:r>
        <w:rPr>
          <w:rFonts w:ascii="Calibri" w:hAnsi="Calibri" w:eastAsia="Calibri"/>
          <w:b/>
        </w:rPr>
        <w:t>Correct maturity label</w:t>
      </w:r>
    </w:p>
    <w:p>
      <w:pPr/>
      <w:r>
        <w:rPr>
          <w:rFonts w:ascii="Calibri" w:hAnsi="Calibri" w:eastAsia="Calibri"/>
          <w:b w:val="0"/>
        </w:rPr>
        <w:t xml:space="preserve">Call the submission artifact a </w:t>
      </w:r>
      <w:r>
        <w:rPr>
          <w:rFonts w:ascii="Calibri" w:hAnsi="Calibri" w:eastAsia="Calibri"/>
          <w:b/>
        </w:rPr>
        <w:t>functional prototype</w:t>
      </w:r>
      <w:r>
        <w:rPr>
          <w:rFonts w:ascii="Calibri" w:hAnsi="Calibri" w:eastAsia="Calibri"/>
          <w:b w:val="0"/>
        </w:rPr>
        <w:t>. Upgrade the label to MVP only after at least one authorized target user can complete the core task with representative data and the team has addressed that feedback. [PDF-PP p. 10]</w:t>
      </w:r>
    </w:p>
    <w:p>
      <w:pPr>
        <w:pStyle w:val="Heading2"/>
      </w:pPr>
      <w:r>
        <w:rPr>
          <w:rFonts w:ascii="Calibri" w:hAnsi="Calibri" w:eastAsia="Calibri"/>
          <w:b/>
        </w:rPr>
        <w:t>Vertical-slice proof</w:t>
      </w:r>
    </w:p>
    <w:p>
      <w:pPr/>
      <w:r>
        <w:rPr>
          <w:rFonts w:ascii="Calibri" w:hAnsi="Calibri" w:eastAsia="Calibri"/>
          <w:b w:val="0"/>
        </w:rPr>
        <w:t>The smallest winning slice is:</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val="0"/>
                <w:color w:val="0B2545"/>
                <w:sz w:val="18"/>
              </w:rPr>
              <w:t>Select or upload a synthetic bundle → screen it → open one flagged reason → inspect claim-to-evidence links → make a human disposition → see the immutable audit event.</w:t>
            </w:r>
          </w:p>
        </w:tc>
      </w:tr>
    </w:tbl>
    <w:p>
      <w:pPr>
        <w:spacing w:after="0"/>
      </w:pPr>
    </w:p>
    <w:p>
      <w:pPr>
        <w:pStyle w:val="Heading2"/>
      </w:pPr>
      <w:r>
        <w:rPr>
          <w:rFonts w:ascii="Calibri" w:hAnsi="Calibri" w:eastAsia="Calibri"/>
          <w:b/>
        </w:rPr>
        <w:t>Scope tiers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2500"/>
        <w:gridCol w:w="2500"/>
        <w:gridCol w:w="2560"/>
      </w:tblGrid>
      <w:tr>
        <w:trPr>
          <w:tblHeader w:val="true"/>
        </w:trPr>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MUST HAVE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SHOULD HAVE</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NICE TO HAVE</w:t>
            </w:r>
          </w:p>
        </w:tc>
        <w:tc>
          <w:tcPr>
            <w:tcW w:type="dxa" w:w="25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OUT OF SCOPE</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Published-subset bundle validation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Clone similarity beyond simple baseline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Guarded LLM summary</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Real JKN participant data</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Three modes working by Gate 4; four by Gate 6</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Side-by-side candidate comparison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Scenario builder</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Live BPJS/E-Klaim/SATUSEHAT connection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Queue with reason and priority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Export a case/evaluation summary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What-if threshold control</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Automatic claim rejection/payment/sanction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Detail with evidence, counter-evidence, timeline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Review-budget visualization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Advanced graph navigation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Medical-necessity or diagnostic decision</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Human disposition with required reason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Basic role simulation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Dark mode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Mobile patient app</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Append-only audit event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Offline evaluation snapshot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Notification integrations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Enterprise IAM, streaming, GNN, multi-agent system</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Reproducible synthetic evaluation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Error/empty/loading states</w:t>
            </w:r>
          </w:p>
        </w:tc>
        <w:tc>
          <w:tcPr>
            <w:tcW w:type="dxa" w:w="2500"/>
            <w:tcMar>
              <w:top w:w="80" w:type="dxa"/>
              <w:start w:w="120" w:type="dxa"/>
              <w:bottom w:w="80" w:type="dxa"/>
              <w:end w:w="120" w:type="dxa"/>
            </w:tcMar>
            <w:vAlign w:val="top"/>
          </w:tcPr>
          <w:p>
            <w:pPr>
              <w:spacing w:before="0" w:after="0" w:line="240" w:lineRule="auto"/>
            </w:pP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Many dashboards or dummy menus</w:t>
            </w:r>
          </w:p>
        </w:tc>
      </w:tr>
    </w:tbl>
    <w:p>
      <w:pPr>
        <w:spacing w:before="0" w:after="60"/>
      </w:pPr>
    </w:p>
    <w:p>
      <w:pPr>
        <w:pStyle w:val="Heading2"/>
      </w:pPr>
      <w:r>
        <w:rPr>
          <w:rFonts w:ascii="Calibri" w:hAnsi="Calibri" w:eastAsia="Calibri"/>
          <w:b/>
        </w:rPr>
        <w:t>Pages and core components</w:t>
      </w:r>
    </w:p>
    <w:p>
      <w:pPr>
        <w:keepLines/>
        <w:spacing w:after="80" w:line="300" w:lineRule="auto"/>
        <w:numPr>
          <w:ilvl w:val="0"/>
          <w:numId w:val="41"/>
        </w:numPr>
      </w:pPr>
      <w:r>
        <w:rPr>
          <w:rFonts w:ascii="Calibri" w:hAnsi="Calibri" w:eastAsia="Calibri"/>
          <w:b/>
          <w:sz w:val="21"/>
        </w:rPr>
        <w:t>Review Queue / Home</w:t>
      </w:r>
      <w:r>
        <w:rPr>
          <w:rFonts w:ascii="Calibri" w:hAnsi="Calibri" w:eastAsia="Calibri"/>
          <w:b w:val="0"/>
          <w:sz w:val="21"/>
        </w:rPr>
        <w:t xml:space="preserve"> — filters for state, reason, and priority; compact operational metrics; case rows with reason, amount, age, and evidence completeness.</w:t>
      </w:r>
    </w:p>
    <w:p>
      <w:pPr>
        <w:keepLines/>
        <w:spacing w:after="80" w:line="300" w:lineRule="auto"/>
        <w:numPr>
          <w:ilvl w:val="0"/>
          <w:numId w:val="41"/>
        </w:numPr>
      </w:pPr>
      <w:r>
        <w:rPr>
          <w:rFonts w:ascii="Calibri" w:hAnsi="Calibri" w:eastAsia="Calibri"/>
          <w:b/>
          <w:sz w:val="21"/>
        </w:rPr>
        <w:t>Case Detail</w:t>
      </w:r>
      <w:r>
        <w:rPr>
          <w:rFonts w:ascii="Calibri" w:hAnsi="Calibri" w:eastAsia="Calibri"/>
          <w:b w:val="0"/>
          <w:sz w:val="21"/>
        </w:rPr>
        <w:t xml:space="preserve"> — claim lines, reason cards, evidence trace, counter-evidence, episode timeline, side-by-side comparison where relevant, human action panel.</w:t>
      </w:r>
    </w:p>
    <w:p>
      <w:pPr>
        <w:keepLines/>
        <w:spacing w:after="80" w:line="300" w:lineRule="auto"/>
        <w:numPr>
          <w:ilvl w:val="0"/>
          <w:numId w:val="41"/>
        </w:numPr>
      </w:pPr>
      <w:r>
        <w:rPr>
          <w:rFonts w:ascii="Calibri" w:hAnsi="Calibri" w:eastAsia="Calibri"/>
          <w:b/>
          <w:sz w:val="21"/>
        </w:rPr>
        <w:t>Ingest / Demo Cases</w:t>
      </w:r>
      <w:r>
        <w:rPr>
          <w:rFonts w:ascii="Calibri" w:hAnsi="Calibri" w:eastAsia="Calibri"/>
          <w:b w:val="0"/>
          <w:sz w:val="21"/>
        </w:rPr>
        <w:t xml:space="preserve"> — upload JSON or select seeded case; validation report; run screen; no domain configuration wizard.</w:t>
      </w:r>
    </w:p>
    <w:p>
      <w:pPr>
        <w:keepLines/>
        <w:spacing w:after="80" w:line="300" w:lineRule="auto"/>
        <w:numPr>
          <w:ilvl w:val="0"/>
          <w:numId w:val="41"/>
        </w:numPr>
      </w:pPr>
      <w:r>
        <w:rPr>
          <w:rFonts w:ascii="Calibri" w:hAnsi="Calibri" w:eastAsia="Calibri"/>
          <w:b/>
          <w:sz w:val="21"/>
        </w:rPr>
        <w:t>Audit &amp; Evaluation</w:t>
      </w:r>
      <w:r>
        <w:rPr>
          <w:rFonts w:ascii="Calibri" w:hAnsi="Calibri" w:eastAsia="Calibri"/>
          <w:b w:val="0"/>
          <w:sz w:val="21"/>
        </w:rPr>
        <w:t xml:space="preserve"> — case audit tab plus one small evaluation page for dataset/model version and synthetic metrics. These may be tabs rather than global navigation items.</w:t>
      </w:r>
    </w:p>
    <w:p>
      <w:pPr>
        <w:pStyle w:val="Heading2"/>
      </w:pPr>
      <w:r>
        <w:rPr>
          <w:rFonts w:ascii="Calibri" w:hAnsi="Calibri" w:eastAsia="Calibri"/>
          <w:b/>
        </w:rPr>
        <w:t>Main dashboard principles</w:t>
      </w:r>
    </w:p>
    <w:p>
      <w:pPr/>
      <w:r>
        <w:rPr>
          <w:rFonts w:ascii="Calibri" w:hAnsi="Calibri" w:eastAsia="Calibri"/>
          <w:b w:val="0"/>
        </w:rPr>
        <w:t>The queue is the dashboard. Limit top metrics to what changes a reviewer’s action:</w:t>
      </w:r>
    </w:p>
    <w:p>
      <w:pPr>
        <w:keepLines/>
        <w:spacing w:after="80" w:line="300" w:lineRule="auto"/>
        <w:numPr>
          <w:ilvl w:val="0"/>
          <w:numId w:val="42"/>
        </w:numPr>
      </w:pPr>
      <w:r>
        <w:rPr>
          <w:rFonts w:ascii="Calibri" w:hAnsi="Calibri" w:eastAsia="Calibri"/>
          <w:b w:val="0"/>
          <w:sz w:val="21"/>
        </w:rPr>
        <w:t>cases awaiting review;</w:t>
      </w:r>
    </w:p>
    <w:p>
      <w:pPr>
        <w:keepLines/>
        <w:spacing w:after="80" w:line="300" w:lineRule="auto"/>
        <w:numPr>
          <w:ilvl w:val="0"/>
          <w:numId w:val="42"/>
        </w:numPr>
      </w:pPr>
      <w:r>
        <w:rPr>
          <w:rFonts w:ascii="Calibri" w:hAnsi="Calibri" w:eastAsia="Calibri"/>
          <w:b w:val="0"/>
          <w:sz w:val="21"/>
        </w:rPr>
        <w:t>high-priority deterministic conflicts;</w:t>
      </w:r>
    </w:p>
    <w:p>
      <w:pPr>
        <w:keepLines/>
        <w:spacing w:after="80" w:line="300" w:lineRule="auto"/>
        <w:numPr>
          <w:ilvl w:val="0"/>
          <w:numId w:val="42"/>
        </w:numPr>
      </w:pPr>
      <w:r>
        <w:rPr>
          <w:rFonts w:ascii="Calibri" w:hAnsi="Calibri" w:eastAsia="Calibri"/>
          <w:b w:val="0"/>
          <w:sz w:val="21"/>
        </w:rPr>
        <w:t>evidence-requested cases;</w:t>
      </w:r>
    </w:p>
    <w:p>
      <w:pPr>
        <w:keepLines/>
        <w:spacing w:after="80" w:line="300" w:lineRule="auto"/>
        <w:numPr>
          <w:ilvl w:val="0"/>
          <w:numId w:val="42"/>
        </w:numPr>
      </w:pPr>
      <w:r>
        <w:rPr>
          <w:rFonts w:ascii="Calibri" w:hAnsi="Calibri" w:eastAsia="Calibri"/>
          <w:b w:val="0"/>
          <w:sz w:val="21"/>
        </w:rPr>
        <w:t>median time in queue;</w:t>
      </w:r>
    </w:p>
    <w:p>
      <w:pPr>
        <w:keepLines/>
        <w:spacing w:after="80" w:line="300" w:lineRule="auto"/>
        <w:numPr>
          <w:ilvl w:val="0"/>
          <w:numId w:val="42"/>
        </w:numPr>
      </w:pPr>
      <w:r>
        <w:rPr>
          <w:rFonts w:ascii="Calibri" w:hAnsi="Calibri" w:eastAsia="Calibri"/>
          <w:b w:val="0"/>
          <w:sz w:val="21"/>
        </w:rPr>
        <w:t>current engine/dataset version.</w:t>
      </w:r>
    </w:p>
    <w:p>
      <w:pPr/>
      <w:r>
        <w:rPr>
          <w:rFonts w:ascii="Calibri" w:hAnsi="Calibri" w:eastAsia="Calibri"/>
          <w:b w:val="0"/>
        </w:rPr>
        <w:t>Do not show “fraud saved,” provider league tables, or national projections.</w:t>
      </w:r>
    </w:p>
    <w:p>
      <w:pPr>
        <w:pStyle w:val="Heading1"/>
        <w:pageBreakBefore/>
      </w:pPr>
      <w:r>
        <w:rPr>
          <w:rFonts w:ascii="Calibri" w:hAnsi="Calibri" w:eastAsia="Calibri"/>
          <w:b/>
        </w:rPr>
        <w:t>14. Figma / UX Brief</w:t>
      </w:r>
    </w:p>
    <w:p>
      <w:pPr>
        <w:pStyle w:val="Heading2"/>
      </w:pPr>
      <w:r>
        <w:rPr>
          <w:rFonts w:ascii="Calibri" w:hAnsi="Calibri" w:eastAsia="Calibri"/>
          <w:b/>
        </w:rPr>
        <w:t>Product feeling</w:t>
      </w:r>
    </w:p>
    <w:p>
      <w:pPr/>
      <w:r>
        <w:rPr>
          <w:rFonts w:ascii="Calibri" w:hAnsi="Calibri" w:eastAsia="Calibri"/>
          <w:b w:val="0"/>
        </w:rPr>
        <w:t>Modern, healthcare-professional, operational, calm, and credible for BPJS/hospital use. Visual confidence should come from hierarchy, provenance, and responsive states—not neon gradients or chatbot effects.</w:t>
      </w:r>
    </w:p>
    <w:p>
      <w:pPr>
        <w:pStyle w:val="Heading2"/>
      </w:pPr>
      <w:r>
        <w:rPr>
          <w:rFonts w:ascii="Calibri" w:hAnsi="Calibri" w:eastAsia="Calibri"/>
          <w:b/>
        </w:rPr>
        <w:t>Visual system</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Element</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Direction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Color</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Deep navy/teal primary; off-white surface; amber for “needs review”; red reserved for deterministic conflict—not guilt; green only for completed/validated actions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Typography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Inter or another highly legible sans; tabular numerals for amounts/timestamps; 14–16 px body equivalent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Layout</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12-column desktop grid; queue density suitable for operations; 8 px spacing system</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Cards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Few, purposeful; border and background hierarchy rather than heavy shadows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Icons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Evidence, clock, link, document, human review; no robot heads or sparkles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Accessibility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WCAG AA contrast target, keyboard navigation, visible focus, color + text labels, not color alone</w:t>
            </w:r>
          </w:p>
        </w:tc>
      </w:tr>
    </w:tbl>
    <w:p>
      <w:pPr>
        <w:spacing w:before="0" w:after="60"/>
      </w:pPr>
    </w:p>
    <w:p>
      <w:pPr>
        <w:pStyle w:val="Heading2"/>
      </w:pPr>
      <w:r>
        <w:rPr>
          <w:rFonts w:ascii="Calibri" w:hAnsi="Calibri" w:eastAsia="Calibri"/>
          <w:b/>
        </w:rPr>
        <w:t>Screen 1 — Review Queue</w:t>
      </w:r>
    </w:p>
    <w:p>
      <w:pPr/>
      <w:r>
        <w:rPr>
          <w:rFonts w:ascii="Calibri" w:hAnsi="Calibri" w:eastAsia="Calibri"/>
          <w:b/>
        </w:rPr>
        <w:t>Objective:</w:t>
      </w:r>
      <w:r>
        <w:rPr>
          <w:rFonts w:ascii="Calibri" w:hAnsi="Calibri" w:eastAsia="Calibri"/>
          <w:b w:val="0"/>
        </w:rPr>
        <w:t xml:space="preserve"> decide what to review next. </w:t>
      </w:r>
      <w:r>
        <w:rPr>
          <w:rFonts w:ascii="Calibri" w:hAnsi="Calibri" w:eastAsia="Calibri"/>
          <w:b/>
        </w:rPr>
        <w:t>Components:</w:t>
      </w:r>
      <w:r>
        <w:rPr>
          <w:rFonts w:ascii="Calibri" w:hAnsi="Calibri" w:eastAsia="Calibri"/>
          <w:b w:val="0"/>
        </w:rPr>
        <w:t xml:space="preserve"> compact header; three operational stats; search; filters; sortable table; reason chips; evidence-completeness indicator; priority rationale tooltip. </w:t>
      </w:r>
      <w:r>
        <w:rPr>
          <w:rFonts w:ascii="Calibri" w:hAnsi="Calibri" w:eastAsia="Calibri"/>
          <w:b/>
        </w:rPr>
        <w:t>Critical empty/error states:</w:t>
      </w:r>
      <w:r>
        <w:rPr>
          <w:rFonts w:ascii="Calibri" w:hAnsi="Calibri" w:eastAsia="Calibri"/>
          <w:b w:val="0"/>
        </w:rPr>
        <w:t xml:space="preserve"> no cases; screen failed; invalid bundle; filter returns none. </w:t>
      </w:r>
      <w:r>
        <w:rPr>
          <w:rFonts w:ascii="Calibri" w:hAnsi="Calibri" w:eastAsia="Calibri"/>
          <w:b/>
        </w:rPr>
        <w:t>Judge moment:</w:t>
      </w:r>
      <w:r>
        <w:rPr>
          <w:rFonts w:ascii="Calibri" w:hAnsi="Calibri" w:eastAsia="Calibri"/>
          <w:b w:val="0"/>
        </w:rPr>
        <w:t xml:space="preserve"> the top row states “Procedure line has no completed supporting event” before any model jargon.</w:t>
      </w:r>
    </w:p>
    <w:p>
      <w:pPr>
        <w:pStyle w:val="Heading2"/>
      </w:pPr>
      <w:r>
        <w:rPr>
          <w:rFonts w:ascii="Calibri" w:hAnsi="Calibri" w:eastAsia="Calibri"/>
          <w:b/>
        </w:rPr>
        <w:t>Screen 2 — Case Detail</w:t>
      </w:r>
    </w:p>
    <w:p>
      <w:pPr/>
      <w:r>
        <w:rPr>
          <w:rFonts w:ascii="Calibri" w:hAnsi="Calibri" w:eastAsia="Calibri"/>
          <w:b/>
        </w:rPr>
        <w:t>Objective:</w:t>
      </w:r>
      <w:r>
        <w:rPr>
          <w:rFonts w:ascii="Calibri" w:hAnsi="Calibri" w:eastAsia="Calibri"/>
          <w:b w:val="0"/>
        </w:rPr>
        <w:t xml:space="preserve"> understand and disposition one reason. </w:t>
      </w:r>
      <w:r>
        <w:rPr>
          <w:rFonts w:ascii="Calibri" w:hAnsi="Calibri" w:eastAsia="Calibri"/>
          <w:b/>
        </w:rPr>
        <w:t>Above the fold:</w:t>
      </w:r>
      <w:r>
        <w:rPr>
          <w:rFonts w:ascii="Calibri" w:hAnsi="Calibri" w:eastAsia="Calibri"/>
          <w:b w:val="0"/>
        </w:rPr>
        <w:t xml:space="preserve"> pseudonymous case ID, status, amount, encounter window, primary reason, confidence basis, and four action buttons. </w:t>
      </w:r>
      <w:r>
        <w:rPr>
          <w:rFonts w:ascii="Calibri" w:hAnsi="Calibri" w:eastAsia="Calibri"/>
          <w:b/>
        </w:rPr>
        <w:t>Main body:</w:t>
      </w:r>
    </w:p>
    <w:p>
      <w:pPr>
        <w:keepLines/>
        <w:spacing w:after="80" w:line="300" w:lineRule="auto"/>
        <w:numPr>
          <w:ilvl w:val="0"/>
          <w:numId w:val="43"/>
        </w:numPr>
      </w:pPr>
      <w:r>
        <w:rPr>
          <w:rFonts w:ascii="Calibri" w:hAnsi="Calibri" w:eastAsia="Calibri"/>
          <w:b w:val="0"/>
          <w:sz w:val="21"/>
        </w:rPr>
        <w:t>left: claim-line list with support state;</w:t>
      </w:r>
    </w:p>
    <w:p>
      <w:pPr>
        <w:keepLines/>
        <w:spacing w:after="80" w:line="300" w:lineRule="auto"/>
        <w:numPr>
          <w:ilvl w:val="0"/>
          <w:numId w:val="43"/>
        </w:numPr>
      </w:pPr>
      <w:r>
        <w:rPr>
          <w:rFonts w:ascii="Calibri" w:hAnsi="Calibri" w:eastAsia="Calibri"/>
          <w:b w:val="0"/>
          <w:sz w:val="21"/>
        </w:rPr>
        <w:t>center: selected reason, evidence path, missing/observed resources, and timeline;</w:t>
      </w:r>
    </w:p>
    <w:p>
      <w:pPr>
        <w:keepLines/>
        <w:spacing w:after="80" w:line="300" w:lineRule="auto"/>
        <w:numPr>
          <w:ilvl w:val="0"/>
          <w:numId w:val="43"/>
        </w:numPr>
      </w:pPr>
      <w:r>
        <w:rPr>
          <w:rFonts w:ascii="Calibri" w:hAnsi="Calibri" w:eastAsia="Calibri"/>
          <w:b w:val="0"/>
          <w:sz w:val="21"/>
        </w:rPr>
        <w:t>right: reviewer action and structured reason;</w:t>
      </w:r>
    </w:p>
    <w:p>
      <w:pPr>
        <w:keepLines/>
        <w:spacing w:after="80" w:line="300" w:lineRule="auto"/>
        <w:numPr>
          <w:ilvl w:val="0"/>
          <w:numId w:val="43"/>
        </w:numPr>
      </w:pPr>
      <w:r>
        <w:rPr>
          <w:rFonts w:ascii="Calibri" w:hAnsi="Calibri" w:eastAsia="Calibri"/>
          <w:b w:val="0"/>
          <w:sz w:val="21"/>
        </w:rPr>
        <w:t>collapsible: source JSON/resource details, rule/model version, counter-evidence;</w:t>
      </w:r>
    </w:p>
    <w:p>
      <w:pPr>
        <w:keepLines/>
        <w:spacing w:after="80" w:line="300" w:lineRule="auto"/>
        <w:numPr>
          <w:ilvl w:val="0"/>
          <w:numId w:val="43"/>
        </w:numPr>
      </w:pPr>
      <w:r>
        <w:rPr>
          <w:rFonts w:ascii="Calibri" w:hAnsi="Calibri" w:eastAsia="Calibri"/>
          <w:b w:val="0"/>
          <w:sz w:val="21"/>
        </w:rPr>
        <w:t>comparison drawer for repeat/clone candidates.</w:t>
      </w:r>
    </w:p>
    <w:p>
      <w:pPr/>
      <w:r>
        <w:rPr>
          <w:rFonts w:ascii="Calibri" w:hAnsi="Calibri" w:eastAsia="Calibri"/>
          <w:b w:val="0"/>
        </w:rPr>
        <w:t>The graph must be small and task-directed. Default to an evidence path, not a tangled network.</w:t>
      </w:r>
    </w:p>
    <w:p>
      <w:pPr>
        <w:pStyle w:val="Heading2"/>
      </w:pPr>
      <w:r>
        <w:rPr>
          <w:rFonts w:ascii="Calibri" w:hAnsi="Calibri" w:eastAsia="Calibri"/>
          <w:b/>
        </w:rPr>
        <w:t>Screen 3 — Ingest / Seeded Demo</w:t>
      </w:r>
    </w:p>
    <w:p>
      <w:pPr/>
      <w:r>
        <w:rPr>
          <w:rFonts w:ascii="Calibri" w:hAnsi="Calibri" w:eastAsia="Calibri"/>
          <w:b/>
        </w:rPr>
        <w:t>Objective:</w:t>
      </w:r>
      <w:r>
        <w:rPr>
          <w:rFonts w:ascii="Calibri" w:hAnsi="Calibri" w:eastAsia="Calibri"/>
          <w:b w:val="0"/>
        </w:rPr>
        <w:t xml:space="preserve"> prove the system works from input. Offer five deterministic seeded cases and JSON upload. After upload, show resource counts, schema/reference errors, synthetic-data badge, input hash, then one </w:t>
      </w:r>
      <w:r>
        <w:rPr>
          <w:rFonts w:ascii="Calibri" w:hAnsi="Calibri" w:eastAsia="Calibri"/>
          <w:b/>
        </w:rPr>
        <w:t>Screen claim</w:t>
      </w:r>
      <w:r>
        <w:rPr>
          <w:rFonts w:ascii="Calibri" w:hAnsi="Calibri" w:eastAsia="Calibri"/>
          <w:b w:val="0"/>
        </w:rPr>
        <w:t xml:space="preserve"> button.</w:t>
      </w:r>
    </w:p>
    <w:p>
      <w:pPr>
        <w:pStyle w:val="Heading2"/>
      </w:pPr>
      <w:r>
        <w:rPr>
          <w:rFonts w:ascii="Calibri" w:hAnsi="Calibri" w:eastAsia="Calibri"/>
          <w:b/>
        </w:rPr>
        <w:t>Screen 4 — Audit / Evaluation</w:t>
      </w:r>
    </w:p>
    <w:p>
      <w:pPr/>
      <w:r>
        <w:rPr>
          <w:rFonts w:ascii="Calibri" w:hAnsi="Calibri" w:eastAsia="Calibri"/>
          <w:b/>
        </w:rPr>
        <w:t>Objective:</w:t>
      </w:r>
      <w:r>
        <w:rPr>
          <w:rFonts w:ascii="Calibri" w:hAnsi="Calibri" w:eastAsia="Calibri"/>
          <w:b w:val="0"/>
        </w:rPr>
        <w:t xml:space="preserve"> prove governance and measurement. Audit timeline: actor, action, reason, timestamp, evidence/version. Evaluation: rules-only vs hybrid, per-mode precision/recall/F1, false positives per 100 clean claims, p95 latency, dataset/version badge, limitations callout.</w:t>
      </w:r>
    </w:p>
    <w:p>
      <w:pPr>
        <w:pStyle w:val="Heading2"/>
      </w:pPr>
      <w:r>
        <w:rPr>
          <w:rFonts w:ascii="Calibri" w:hAnsi="Calibri" w:eastAsia="Calibri"/>
          <w:b/>
        </w:rPr>
        <w:t>Interaction requirements</w:t>
      </w:r>
    </w:p>
    <w:p>
      <w:pPr>
        <w:keepLines/>
        <w:spacing w:after="80" w:line="300" w:lineRule="auto"/>
        <w:numPr>
          <w:ilvl w:val="0"/>
          <w:numId w:val="44"/>
        </w:numPr>
      </w:pPr>
      <w:r>
        <w:rPr>
          <w:rFonts w:ascii="Calibri" w:hAnsi="Calibri" w:eastAsia="Calibri"/>
          <w:b w:val="0"/>
          <w:sz w:val="21"/>
        </w:rPr>
        <w:t>A disposition requires a reason and optimistic version check.</w:t>
      </w:r>
    </w:p>
    <w:p>
      <w:pPr>
        <w:keepLines/>
        <w:spacing w:after="80" w:line="300" w:lineRule="auto"/>
        <w:numPr>
          <w:ilvl w:val="0"/>
          <w:numId w:val="44"/>
        </w:numPr>
      </w:pPr>
      <w:r>
        <w:rPr>
          <w:rFonts w:ascii="Calibri" w:hAnsi="Calibri" w:eastAsia="Calibri"/>
          <w:b w:val="0"/>
          <w:sz w:val="21"/>
        </w:rPr>
        <w:t>“Confirm anomaly” opens a confirmation explaining that this is not a fraud finding.</w:t>
      </w:r>
    </w:p>
    <w:p>
      <w:pPr>
        <w:keepLines/>
        <w:spacing w:after="80" w:line="300" w:lineRule="auto"/>
        <w:numPr>
          <w:ilvl w:val="0"/>
          <w:numId w:val="44"/>
        </w:numPr>
      </w:pPr>
      <w:r>
        <w:rPr>
          <w:rFonts w:ascii="Calibri" w:hAnsi="Calibri" w:eastAsia="Calibri"/>
          <w:b w:val="0"/>
          <w:sz w:val="21"/>
        </w:rPr>
        <w:t>“Request evidence” preselects the missing resource but lets the reviewer edit.</w:t>
      </w:r>
    </w:p>
    <w:p>
      <w:pPr>
        <w:keepLines/>
        <w:spacing w:after="80" w:line="300" w:lineRule="auto"/>
        <w:numPr>
          <w:ilvl w:val="0"/>
          <w:numId w:val="44"/>
        </w:numPr>
      </w:pPr>
      <w:r>
        <w:rPr>
          <w:rFonts w:ascii="Calibri" w:hAnsi="Calibri" w:eastAsia="Calibri"/>
          <w:b w:val="0"/>
          <w:sz w:val="21"/>
        </w:rPr>
        <w:t>Similarity explanations highlight shared fragments without revealing other participants’ identities.</w:t>
      </w:r>
    </w:p>
    <w:p>
      <w:pPr>
        <w:keepLines/>
        <w:spacing w:after="80" w:line="300" w:lineRule="auto"/>
        <w:numPr>
          <w:ilvl w:val="0"/>
          <w:numId w:val="44"/>
        </w:numPr>
      </w:pPr>
      <w:r>
        <w:rPr>
          <w:rFonts w:ascii="Calibri" w:hAnsi="Calibri" w:eastAsia="Calibri"/>
          <w:b w:val="0"/>
          <w:sz w:val="21"/>
        </w:rPr>
        <w:t>Every score tooltip answers “why this band?”</w:t>
      </w:r>
    </w:p>
    <w:p>
      <w:pPr>
        <w:keepLines/>
        <w:spacing w:after="80" w:line="300" w:lineRule="auto"/>
        <w:numPr>
          <w:ilvl w:val="0"/>
          <w:numId w:val="44"/>
        </w:numPr>
      </w:pPr>
      <w:r>
        <w:rPr>
          <w:rFonts w:ascii="Calibri" w:hAnsi="Calibri" w:eastAsia="Calibri"/>
          <w:b w:val="0"/>
          <w:sz w:val="21"/>
        </w:rPr>
        <w:t>All demo routes work without external network.</w:t>
      </w:r>
    </w:p>
    <w:p>
      <w:pPr>
        <w:pStyle w:val="Heading2"/>
      </w:pPr>
      <w:r>
        <w:rPr>
          <w:rFonts w:ascii="Calibri" w:hAnsi="Calibri" w:eastAsia="Calibri"/>
          <w:b/>
        </w:rPr>
        <w:t>Figma deliverables for Member 2</w:t>
      </w:r>
    </w:p>
    <w:p>
      <w:pPr>
        <w:keepLines/>
        <w:spacing w:after="80" w:line="300" w:lineRule="auto"/>
        <w:numPr>
          <w:ilvl w:val="0"/>
          <w:numId w:val="45"/>
        </w:numPr>
      </w:pPr>
      <w:r>
        <w:rPr>
          <w:rFonts w:ascii="Calibri" w:hAnsi="Calibri" w:eastAsia="Calibri"/>
          <w:b w:val="0"/>
          <w:sz w:val="21"/>
        </w:rPr>
        <w:t>One-page workflow diagram and component inventory.</w:t>
      </w:r>
    </w:p>
    <w:p>
      <w:pPr>
        <w:keepLines/>
        <w:spacing w:after="80" w:line="300" w:lineRule="auto"/>
        <w:numPr>
          <w:ilvl w:val="0"/>
          <w:numId w:val="45"/>
        </w:numPr>
      </w:pPr>
      <w:r>
        <w:rPr>
          <w:rFonts w:ascii="Calibri" w:hAnsi="Calibri" w:eastAsia="Calibri"/>
          <w:b w:val="0"/>
          <w:sz w:val="21"/>
        </w:rPr>
        <w:t>Low-fidelity queue/detail prototype by 1 September.</w:t>
      </w:r>
    </w:p>
    <w:p>
      <w:pPr>
        <w:keepLines/>
        <w:spacing w:after="80" w:line="300" w:lineRule="auto"/>
        <w:numPr>
          <w:ilvl w:val="0"/>
          <w:numId w:val="45"/>
        </w:numPr>
      </w:pPr>
      <w:r>
        <w:rPr>
          <w:rFonts w:ascii="Calibri" w:hAnsi="Calibri" w:eastAsia="Calibri"/>
          <w:b w:val="0"/>
          <w:sz w:val="21"/>
        </w:rPr>
        <w:t>High-fidelity desktop frames for queue, case detail, ingest, and audit/evaluation by 4 September.</w:t>
      </w:r>
    </w:p>
    <w:p>
      <w:pPr>
        <w:keepLines/>
        <w:spacing w:after="80" w:line="300" w:lineRule="auto"/>
        <w:numPr>
          <w:ilvl w:val="0"/>
          <w:numId w:val="45"/>
        </w:numPr>
      </w:pPr>
      <w:r>
        <w:rPr>
          <w:rFonts w:ascii="Calibri" w:hAnsi="Calibri" w:eastAsia="Calibri"/>
          <w:b w:val="0"/>
          <w:sz w:val="21"/>
        </w:rPr>
        <w:t>Clickable path for the ideal phantom-billing demo case.</w:t>
      </w:r>
    </w:p>
    <w:p>
      <w:pPr>
        <w:keepLines/>
        <w:spacing w:after="80" w:line="300" w:lineRule="auto"/>
        <w:numPr>
          <w:ilvl w:val="0"/>
          <w:numId w:val="45"/>
        </w:numPr>
      </w:pPr>
      <w:r>
        <w:rPr>
          <w:rFonts w:ascii="Calibri" w:hAnsi="Calibri" w:eastAsia="Calibri"/>
          <w:b w:val="0"/>
          <w:sz w:val="21"/>
        </w:rPr>
        <w:t>Design tokens and component states, including loading/empty/error/disabled.</w:t>
      </w:r>
    </w:p>
    <w:p>
      <w:pPr>
        <w:keepLines/>
        <w:spacing w:after="80" w:line="300" w:lineRule="auto"/>
        <w:numPr>
          <w:ilvl w:val="0"/>
          <w:numId w:val="45"/>
        </w:numPr>
      </w:pPr>
      <w:r>
        <w:rPr>
          <w:rFonts w:ascii="Calibri" w:hAnsi="Calibri" w:eastAsia="Calibri"/>
          <w:b w:val="0"/>
          <w:sz w:val="21"/>
        </w:rPr>
        <w:t>Handoff annotations mapping each visible field to an API response.</w:t>
      </w:r>
    </w:p>
    <w:p>
      <w:pPr>
        <w:keepLines/>
        <w:spacing w:after="80" w:line="300" w:lineRule="auto"/>
        <w:numPr>
          <w:ilvl w:val="0"/>
          <w:numId w:val="45"/>
        </w:numPr>
      </w:pPr>
      <w:r>
        <w:rPr>
          <w:rFonts w:ascii="Calibri" w:hAnsi="Calibri" w:eastAsia="Calibri"/>
          <w:b w:val="0"/>
          <w:sz w:val="21"/>
        </w:rPr>
        <w:t>Five-second and 30-second comprehension test results from at least three non-domain reviewers.</w:t>
      </w:r>
    </w:p>
    <w:p>
      <w:pPr>
        <w:pStyle w:val="Heading1"/>
        <w:pageBreakBefore/>
      </w:pPr>
      <w:r>
        <w:rPr>
          <w:rFonts w:ascii="Calibri" w:hAnsi="Calibri" w:eastAsia="Calibri"/>
          <w:b/>
        </w:rPr>
        <w:t>15. Evaluation Strategy</w:t>
      </w:r>
    </w:p>
    <w:p>
      <w:pPr>
        <w:pStyle w:val="Heading2"/>
      </w:pPr>
      <w:r>
        <w:rPr>
          <w:rFonts w:ascii="Calibri" w:hAnsi="Calibri" w:eastAsia="Calibri"/>
          <w:b/>
        </w:rPr>
        <w:t>Evaluation question</w:t>
      </w:r>
    </w:p>
    <w:p>
      <w:pPr/>
      <w:r>
        <w:rPr>
          <w:rFonts w:ascii="Calibri" w:hAnsi="Calibri" w:eastAsia="Calibri"/>
          <w:b w:val="0"/>
        </w:rPr>
        <w:t xml:space="preserve">Can TilikKlaim detect and prioritize the </w:t>
      </w:r>
      <w:r>
        <w:rPr>
          <w:rFonts w:ascii="Calibri" w:hAnsi="Calibri" w:eastAsia="Calibri"/>
          <w:b/>
        </w:rPr>
        <w:t>injected synthetic patterns</w:t>
      </w:r>
      <w:r>
        <w:rPr>
          <w:rFonts w:ascii="Calibri" w:hAnsi="Calibri" w:eastAsia="Calibri"/>
          <w:b w:val="0"/>
        </w:rPr>
        <w:t xml:space="preserve"> more effectively than transparent baselines while producing evidence a reviewer can act on?</w:t>
      </w:r>
    </w:p>
    <w:p>
      <w:pPr>
        <w:pStyle w:val="Heading2"/>
      </w:pPr>
      <w:r>
        <w:rPr>
          <w:rFonts w:ascii="Calibri" w:hAnsi="Calibri" w:eastAsia="Calibri"/>
          <w:b/>
        </w:rPr>
        <w:t>Baselines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Baseline</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Definition</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Purpose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B0 Random review</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Random ordering at the same review budget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Shows whether ranking adds any value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B1 Rules only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Deterministic structural, fingerprint, and time-window rules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Strong, fair baseline for known patterns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B2 Statistical only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Similarity/anomaly scores without deterministic rules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Tests whether ML alone is useful</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color w:val="0B2545"/>
                <w:sz w:val="17"/>
              </w:rPr>
              <w:t>TilikKlaim hybrid</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Reason-preserving rules plus calibrated similarity/anomaly signals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Must earn complexity through measurable incremental value</w:t>
            </w:r>
          </w:p>
        </w:tc>
      </w:tr>
    </w:tbl>
    <w:p>
      <w:pPr>
        <w:spacing w:before="0" w:after="60"/>
      </w:pPr>
    </w:p>
    <w:p>
      <w:pPr>
        <w:pStyle w:val="Heading2"/>
      </w:pPr>
      <w:r>
        <w:rPr>
          <w:rFonts w:ascii="Calibri" w:hAnsi="Calibri" w:eastAsia="Calibri"/>
          <w:b/>
        </w:rPr>
        <w:t>Primary metrics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Metric</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Use</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Why appropriate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Precision, recall, F1 per mode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Detection of injected labels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Reveals mode-specific trade-offs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Macro F1</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Balanced summary across four modes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Avoids domination by an easy/common injected class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Precision–recall AUC</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Ranking under class imbalance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More informative than AUROC as a headline here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Precision@K and Recall@K</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Fixed reviewer budget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Directly measures prioritization value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False positives per 100 clean claims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Workload and harm proxy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Easy for judges to understand</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p50/p95 screening latency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Technical feasibility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Shows the vertical slice is usable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Evidence-reference validity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Explanation integrity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Every displayed reason must resolve to real input resources/derived edges</w:t>
            </w:r>
          </w:p>
        </w:tc>
      </w:tr>
    </w:tbl>
    <w:p>
      <w:pPr>
        <w:spacing w:before="0" w:after="60"/>
      </w:pPr>
    </w:p>
    <w:p>
      <w:pPr/>
      <w:r>
        <w:rPr>
          <w:rFonts w:ascii="Calibri" w:hAnsi="Calibri" w:eastAsia="Calibri"/>
          <w:b w:val="0"/>
        </w:rPr>
        <w:t>AUROC may appear in an appendix but should not be the headline metric.</w:t>
      </w:r>
    </w:p>
    <w:p>
      <w:pPr>
        <w:pStyle w:val="Heading2"/>
      </w:pPr>
      <w:r>
        <w:rPr>
          <w:rFonts w:ascii="Calibri" w:hAnsi="Calibri" w:eastAsia="Calibri"/>
          <w:b/>
        </w:rPr>
        <w:t>Workflow and usability measures</w:t>
      </w:r>
    </w:p>
    <w:p>
      <w:pPr>
        <w:keepLines/>
        <w:spacing w:after="80" w:line="300" w:lineRule="auto"/>
        <w:numPr>
          <w:ilvl w:val="0"/>
          <w:numId w:val="46"/>
        </w:numPr>
      </w:pPr>
      <w:r>
        <w:rPr>
          <w:rFonts w:ascii="Calibri" w:hAnsi="Calibri" w:eastAsia="Calibri"/>
          <w:b w:val="0"/>
          <w:sz w:val="21"/>
        </w:rPr>
        <w:t>Time from case open to disposition on five seeded cases.</w:t>
      </w:r>
    </w:p>
    <w:p>
      <w:pPr>
        <w:keepLines/>
        <w:spacing w:after="80" w:line="300" w:lineRule="auto"/>
        <w:numPr>
          <w:ilvl w:val="0"/>
          <w:numId w:val="46"/>
        </w:numPr>
      </w:pPr>
      <w:r>
        <w:rPr>
          <w:rFonts w:ascii="Calibri" w:hAnsi="Calibri" w:eastAsia="Calibri"/>
          <w:b w:val="0"/>
          <w:sz w:val="21"/>
        </w:rPr>
        <w:t>Correct identification of the primary reason by non-domain internal reviewers.</w:t>
      </w:r>
    </w:p>
    <w:p>
      <w:pPr>
        <w:keepLines/>
        <w:spacing w:after="80" w:line="300" w:lineRule="auto"/>
        <w:numPr>
          <w:ilvl w:val="0"/>
          <w:numId w:val="46"/>
        </w:numPr>
      </w:pPr>
      <w:r>
        <w:rPr>
          <w:rFonts w:ascii="Calibri" w:hAnsi="Calibri" w:eastAsia="Calibri"/>
          <w:b w:val="0"/>
          <w:sz w:val="21"/>
        </w:rPr>
        <w:t>Number of clicks to supporting evidence and action.</w:t>
      </w:r>
    </w:p>
    <w:p>
      <w:pPr>
        <w:keepLines/>
        <w:spacing w:after="80" w:line="300" w:lineRule="auto"/>
        <w:numPr>
          <w:ilvl w:val="0"/>
          <w:numId w:val="46"/>
        </w:numPr>
      </w:pPr>
      <w:r>
        <w:rPr>
          <w:rFonts w:ascii="Calibri" w:hAnsi="Calibri" w:eastAsia="Calibri"/>
          <w:b w:val="0"/>
          <w:sz w:val="21"/>
        </w:rPr>
        <w:t>Explanation usefulness rating on a short 1–5 rubric: clear reason, relevant evidence, visible uncertainty, appropriate next action.</w:t>
      </w:r>
    </w:p>
    <w:p>
      <w:pPr>
        <w:keepLines/>
        <w:spacing w:after="80" w:line="300" w:lineRule="auto"/>
        <w:numPr>
          <w:ilvl w:val="0"/>
          <w:numId w:val="46"/>
        </w:numPr>
      </w:pPr>
      <w:r>
        <w:rPr>
          <w:rFonts w:ascii="Calibri" w:hAnsi="Calibri" w:eastAsia="Calibri"/>
          <w:b w:val="0"/>
          <w:sz w:val="21"/>
        </w:rPr>
        <w:t>Disagreement between system reason and reviewer disposition.</w:t>
      </w:r>
    </w:p>
    <w:p>
      <w:pPr/>
      <w:r>
        <w:rPr>
          <w:rFonts w:ascii="Calibri" w:hAnsi="Calibri" w:eastAsia="Calibri"/>
          <w:b w:val="0"/>
        </w:rPr>
        <w:t xml:space="preserve">Label these as </w:t>
      </w:r>
      <w:r>
        <w:rPr>
          <w:rFonts w:ascii="Calibri" w:hAnsi="Calibri" w:eastAsia="Calibri"/>
          <w:b/>
        </w:rPr>
        <w:t>internal usability checks</w:t>
      </w:r>
      <w:r>
        <w:rPr>
          <w:rFonts w:ascii="Calibri" w:hAnsi="Calibri" w:eastAsia="Calibri"/>
          <w:b w:val="0"/>
        </w:rPr>
        <w:t>, not target-user validation.</w:t>
      </w:r>
    </w:p>
    <w:p>
      <w:pPr>
        <w:pStyle w:val="Heading2"/>
      </w:pPr>
      <w:r>
        <w:rPr>
          <w:rFonts w:ascii="Calibri" w:hAnsi="Calibri" w:eastAsia="Calibri"/>
          <w:b/>
        </w:rPr>
        <w:t>Experimental protocol</w:t>
      </w:r>
    </w:p>
    <w:p>
      <w:pPr>
        <w:keepLines/>
        <w:spacing w:after="80" w:line="300" w:lineRule="auto"/>
        <w:numPr>
          <w:ilvl w:val="0"/>
          <w:numId w:val="47"/>
        </w:numPr>
      </w:pPr>
      <w:r>
        <w:rPr>
          <w:rFonts w:ascii="Calibri" w:hAnsi="Calibri" w:eastAsia="Calibri"/>
          <w:b w:val="0"/>
          <w:sz w:val="21"/>
        </w:rPr>
        <w:t>Freeze generator, adapter, injection, split, and baseline definitions.</w:t>
      </w:r>
    </w:p>
    <w:p>
      <w:pPr>
        <w:keepLines/>
        <w:spacing w:after="80" w:line="300" w:lineRule="auto"/>
        <w:numPr>
          <w:ilvl w:val="0"/>
          <w:numId w:val="47"/>
        </w:numPr>
      </w:pPr>
      <w:r>
        <w:rPr>
          <w:rFonts w:ascii="Calibri" w:hAnsi="Calibri" w:eastAsia="Calibri"/>
          <w:b w:val="0"/>
          <w:sz w:val="21"/>
        </w:rPr>
        <w:t>Run schema and leakage tests.</w:t>
      </w:r>
    </w:p>
    <w:p>
      <w:pPr>
        <w:keepLines/>
        <w:spacing w:after="80" w:line="300" w:lineRule="auto"/>
        <w:numPr>
          <w:ilvl w:val="0"/>
          <w:numId w:val="47"/>
        </w:numPr>
      </w:pPr>
      <w:r>
        <w:rPr>
          <w:rFonts w:ascii="Calibri" w:hAnsi="Calibri" w:eastAsia="Calibri"/>
          <w:b w:val="0"/>
          <w:sz w:val="21"/>
        </w:rPr>
        <w:t>Tune thresholds on validation data only.</w:t>
      </w:r>
    </w:p>
    <w:p>
      <w:pPr>
        <w:keepLines/>
        <w:spacing w:after="80" w:line="300" w:lineRule="auto"/>
        <w:numPr>
          <w:ilvl w:val="0"/>
          <w:numId w:val="47"/>
        </w:numPr>
      </w:pPr>
      <w:r>
        <w:rPr>
          <w:rFonts w:ascii="Calibri" w:hAnsi="Calibri" w:eastAsia="Calibri"/>
          <w:b w:val="0"/>
          <w:sz w:val="21"/>
        </w:rPr>
        <w:t>Evaluate once on the frozen grouped test set.</w:t>
      </w:r>
    </w:p>
    <w:p>
      <w:pPr>
        <w:keepLines/>
        <w:spacing w:after="80" w:line="300" w:lineRule="auto"/>
        <w:numPr>
          <w:ilvl w:val="0"/>
          <w:numId w:val="47"/>
        </w:numPr>
      </w:pPr>
      <w:r>
        <w:rPr>
          <w:rFonts w:ascii="Calibri" w:hAnsi="Calibri" w:eastAsia="Calibri"/>
          <w:b w:val="0"/>
          <w:sz w:val="21"/>
        </w:rPr>
        <w:t>Report bootstrap confidence intervals where feasible.</w:t>
      </w:r>
    </w:p>
    <w:p>
      <w:pPr>
        <w:keepLines/>
        <w:spacing w:after="80" w:line="300" w:lineRule="auto"/>
        <w:numPr>
          <w:ilvl w:val="0"/>
          <w:numId w:val="47"/>
        </w:numPr>
      </w:pPr>
      <w:r>
        <w:rPr>
          <w:rFonts w:ascii="Calibri" w:hAnsi="Calibri" w:eastAsia="Calibri"/>
          <w:b w:val="0"/>
          <w:sz w:val="21"/>
        </w:rPr>
        <w:t>Break down results by mode, difficulty level, provider, evidence completeness, and single vs multi-label.</w:t>
      </w:r>
    </w:p>
    <w:p>
      <w:pPr>
        <w:keepLines/>
        <w:spacing w:after="80" w:line="300" w:lineRule="auto"/>
        <w:numPr>
          <w:ilvl w:val="0"/>
          <w:numId w:val="47"/>
        </w:numPr>
      </w:pPr>
      <w:r>
        <w:rPr>
          <w:rFonts w:ascii="Calibri" w:hAnsi="Calibri" w:eastAsia="Calibri"/>
          <w:b w:val="0"/>
          <w:sz w:val="21"/>
        </w:rPr>
        <w:t>Manually review at least 25 false positives and 25 false negatives; write the top failure modes.</w:t>
      </w:r>
    </w:p>
    <w:p>
      <w:pPr>
        <w:keepLines/>
        <w:spacing w:after="80" w:line="300" w:lineRule="auto"/>
        <w:numPr>
          <w:ilvl w:val="0"/>
          <w:numId w:val="47"/>
        </w:numPr>
      </w:pPr>
      <w:r>
        <w:rPr>
          <w:rFonts w:ascii="Calibri" w:hAnsi="Calibri" w:eastAsia="Calibri"/>
          <w:b w:val="0"/>
          <w:sz w:val="21"/>
        </w:rPr>
        <w:t>Re-run from a clean environment and compare artifact hashes.</w:t>
      </w:r>
    </w:p>
    <w:p>
      <w:pPr>
        <w:pStyle w:val="Heading2"/>
      </w:pPr>
      <w:r>
        <w:rPr>
          <w:rFonts w:ascii="Calibri" w:hAnsi="Calibri" w:eastAsia="Calibri"/>
          <w:b/>
        </w:rPr>
        <w:t>Honest impact model</w:t>
      </w:r>
    </w:p>
    <w:p>
      <w:pPr/>
      <w:r>
        <w:rPr>
          <w:rFonts w:ascii="Calibri" w:hAnsi="Calibri" w:eastAsia="Calibri"/>
          <w:b w:val="0"/>
        </w:rPr>
        <w:t>Do not claim cost savings. Present a pilot measurement formula:</w:t>
      </w:r>
    </w:p>
    <w:p>
      <w:pPr/>
      <w:r>
        <w:rPr>
          <w:rFonts w:ascii="Consolas" w:hAnsi="Consolas" w:eastAsia="Consolas"/>
          <w:color w:val="1F4D78"/>
          <w:sz w:val="19"/>
        </w:rPr>
        <w:t>expected reviewed value = reviewed claim amount × observed confirmation rate × recoverable/correctable fraction</w:t>
      </w:r>
    </w:p>
    <w:p>
      <w:pPr/>
      <w:r>
        <w:rPr>
          <w:rFonts w:ascii="Calibri" w:hAnsi="Calibri" w:eastAsia="Calibri"/>
          <w:b w:val="0"/>
        </w:rPr>
        <w:t>Each factor must be measured or explicitly parameterized in a future authorized pilot. Scenario estimates must be labeled assumptions and separated from results.</w:t>
      </w:r>
    </w:p>
    <w:p>
      <w:pPr>
        <w:pStyle w:val="Heading2"/>
      </w:pPr>
      <w:r>
        <w:rPr>
          <w:rFonts w:ascii="Calibri" w:hAnsi="Calibri" w:eastAsia="Calibri"/>
          <w:b/>
        </w:rPr>
        <w:t>What synthetic results demonstrate—and do not</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3900"/>
        <w:gridCol w:w="5460"/>
      </w:tblGrid>
      <w:tr>
        <w:trPr>
          <w:tblHeader w:val="true"/>
        </w:trPr>
        <w:tc>
          <w:tcPr>
            <w:tcW w:type="dxa" w:w="39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Demonstrates</w:t>
            </w:r>
          </w:p>
        </w:tc>
        <w:tc>
          <w:tcPr>
            <w:tcW w:type="dxa" w:w="54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Does not demonstrate</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Software correctly parses the chosen schema subset</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Production compatibility with BPJS/E-Klaim/SATUSEHAT</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Detectors recover known injected patterns</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Real-world JKN fraud accuracy or prevalence</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Hybrid ranking may beat baselines on controlled cases</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National savings or causal impact</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Evidence references and audit events are reproducible</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Clinical validity or legal findings</w:t>
            </w:r>
          </w:p>
        </w:tc>
      </w:tr>
      <w:tr>
        <w:trPr>
          <w:cantSplit/>
        </w:trPr>
        <w:tc>
          <w:tcPr>
            <w:tcW w:type="dxa" w:w="39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Prototype latency and workflow can be measured</w:t>
            </w:r>
          </w:p>
        </w:tc>
        <w:tc>
          <w:tcPr>
            <w:tcW w:type="dxa" w:w="54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Scale under national production load</w:t>
            </w:r>
          </w:p>
        </w:tc>
      </w:tr>
    </w:tbl>
    <w:p>
      <w:pPr>
        <w:spacing w:before="0" w:after="60"/>
      </w:pPr>
    </w:p>
    <w:p>
      <w:pPr>
        <w:pStyle w:val="Heading2"/>
      </w:pPr>
      <w:r>
        <w:rPr>
          <w:rFonts w:ascii="Calibri" w:hAnsi="Calibri" w:eastAsia="Calibri"/>
          <w:b/>
        </w:rPr>
        <w:t>Required evidence artifacts</w:t>
      </w:r>
    </w:p>
    <w:p>
      <w:pPr>
        <w:keepLines/>
        <w:spacing w:after="80" w:line="300" w:lineRule="auto"/>
        <w:numPr>
          <w:ilvl w:val="0"/>
          <w:numId w:val="48"/>
        </w:numPr>
      </w:pPr>
      <w:r>
        <w:rPr>
          <w:rFonts w:ascii="Calibri" w:hAnsi="Calibri" w:eastAsia="Calibri"/>
          <w:b w:val="0"/>
          <w:sz w:val="21"/>
        </w:rPr>
        <w:t>Table: rules-only, statistical-only, and hybrid metrics with confidence intervals.</w:t>
      </w:r>
    </w:p>
    <w:p>
      <w:pPr>
        <w:keepLines/>
        <w:spacing w:after="80" w:line="300" w:lineRule="auto"/>
        <w:numPr>
          <w:ilvl w:val="0"/>
          <w:numId w:val="48"/>
        </w:numPr>
      </w:pPr>
      <w:r>
        <w:rPr>
          <w:rFonts w:ascii="Calibri" w:hAnsi="Calibri" w:eastAsia="Calibri"/>
          <w:b w:val="0"/>
          <w:sz w:val="21"/>
        </w:rPr>
        <w:t>Chart: precision@review-budget and false positives per 100 clean claims.</w:t>
      </w:r>
    </w:p>
    <w:p>
      <w:pPr>
        <w:keepLines/>
        <w:spacing w:after="80" w:line="300" w:lineRule="auto"/>
        <w:numPr>
          <w:ilvl w:val="0"/>
          <w:numId w:val="48"/>
        </w:numPr>
      </w:pPr>
      <w:r>
        <w:rPr>
          <w:rFonts w:ascii="Calibri" w:hAnsi="Calibri" w:eastAsia="Calibri"/>
          <w:b w:val="0"/>
          <w:sz w:val="21"/>
        </w:rPr>
        <w:t>Chart: per-mode precision/recall/F1.</w:t>
      </w:r>
    </w:p>
    <w:p>
      <w:pPr>
        <w:keepLines/>
        <w:spacing w:after="80" w:line="300" w:lineRule="auto"/>
        <w:numPr>
          <w:ilvl w:val="0"/>
          <w:numId w:val="48"/>
        </w:numPr>
      </w:pPr>
      <w:r>
        <w:rPr>
          <w:rFonts w:ascii="Calibri" w:hAnsi="Calibri" w:eastAsia="Calibri"/>
          <w:b w:val="0"/>
          <w:sz w:val="21"/>
        </w:rPr>
        <w:t>Screenshot: ideal flagged case with evidence path.</w:t>
      </w:r>
    </w:p>
    <w:p>
      <w:pPr>
        <w:keepLines/>
        <w:spacing w:after="80" w:line="300" w:lineRule="auto"/>
        <w:numPr>
          <w:ilvl w:val="0"/>
          <w:numId w:val="48"/>
        </w:numPr>
      </w:pPr>
      <w:r>
        <w:rPr>
          <w:rFonts w:ascii="Calibri" w:hAnsi="Calibri" w:eastAsia="Calibri"/>
          <w:b w:val="0"/>
          <w:sz w:val="21"/>
        </w:rPr>
        <w:t>Screenshot: human disposition and audit event.</w:t>
      </w:r>
    </w:p>
    <w:p>
      <w:pPr>
        <w:keepLines/>
        <w:spacing w:after="80" w:line="300" w:lineRule="auto"/>
        <w:numPr>
          <w:ilvl w:val="0"/>
          <w:numId w:val="48"/>
        </w:numPr>
      </w:pPr>
      <w:r>
        <w:rPr>
          <w:rFonts w:ascii="Calibri" w:hAnsi="Calibri" w:eastAsia="Calibri"/>
          <w:b w:val="0"/>
          <w:sz w:val="21"/>
        </w:rPr>
        <w:t>Two case studies: one true injected case and one false positive/counter-evidence case.</w:t>
      </w:r>
    </w:p>
    <w:p>
      <w:pPr>
        <w:keepLines/>
        <w:spacing w:after="80" w:line="300" w:lineRule="auto"/>
        <w:numPr>
          <w:ilvl w:val="0"/>
          <w:numId w:val="48"/>
        </w:numPr>
      </w:pPr>
      <w:r>
        <w:rPr>
          <w:rFonts w:ascii="Calibri" w:hAnsi="Calibri" w:eastAsia="Calibri"/>
          <w:b w:val="0"/>
          <w:sz w:val="21"/>
        </w:rPr>
        <w:t>Before/after workflow diagram with steps and measured internal time.</w:t>
      </w:r>
    </w:p>
    <w:p>
      <w:pPr>
        <w:keepLines/>
        <w:spacing w:after="80" w:line="300" w:lineRule="auto"/>
        <w:numPr>
          <w:ilvl w:val="0"/>
          <w:numId w:val="48"/>
        </w:numPr>
      </w:pPr>
      <w:r>
        <w:rPr>
          <w:rFonts w:ascii="Calibri" w:hAnsi="Calibri" w:eastAsia="Calibri"/>
          <w:b w:val="0"/>
          <w:sz w:val="21"/>
        </w:rPr>
        <w:t>One limitations card that can be copied directly into the proposal.</w:t>
      </w:r>
    </w:p>
    <w:p>
      <w:pPr>
        <w:pStyle w:val="Heading1"/>
        <w:pageBreakBefore/>
      </w:pPr>
      <w:r>
        <w:rPr>
          <w:rFonts w:ascii="Calibri" w:hAnsi="Calibri" w:eastAsia="Calibri"/>
          <w:b/>
        </w:rPr>
        <w:t>16. Privacy, Security, Ethics &amp; Governance</w:t>
      </w:r>
    </w:p>
    <w:p>
      <w:pPr>
        <w:pStyle w:val="Heading2"/>
      </w:pPr>
      <w:r>
        <w:rPr>
          <w:rFonts w:ascii="Calibri" w:hAnsi="Calibri" w:eastAsia="Calibri"/>
          <w:b/>
        </w:rPr>
        <w:t>Regulatory anchor</w:t>
      </w:r>
    </w:p>
    <w:p>
      <w:pPr/>
      <w:r>
        <w:rPr>
          <w:rFonts w:ascii="Calibri" w:hAnsi="Calibri" w:eastAsia="Calibri"/>
          <w:b w:val="0"/>
        </w:rPr>
        <w:t>UU 27/2022 classifies health data, biometric data, and genetic data as specific personal data and regulates rights, processing duties, controllers/processors, transfers, sanctions, and related governance. [E12] Permenkes 24/2022 governs medical records; UU 17/2023 and PP 28/2024 provide the broader health-law framework. [E16, E23–E24] The proposal must not pretend this section is legal advice; production design requires BPJS/Kemenkes legal and security review.</w:t>
      </w:r>
    </w:p>
    <w:p>
      <w:pPr>
        <w:pStyle w:val="Heading2"/>
      </w:pPr>
      <w:r>
        <w:rPr>
          <w:rFonts w:ascii="Calibri" w:hAnsi="Calibri" w:eastAsia="Calibri"/>
          <w:b/>
        </w:rPr>
        <w:t>Product controls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Risk area</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Prototype control</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Production requirement</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Real participant data</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Use synthetic records only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Written authority, lawful basis, role definition, DPIA/risk assessment</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Identification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Pseudonymous IDs; no names/NIK</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Tokenization service, controlled re-identification, separation of duties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Data minimization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Only fields needed for the selected reasons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Field-by-field purpose and retention schedule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Access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Simulated analyst/reviewer roles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Enterprise IAM, least privilege, MFA, periodic review</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Transmission/storage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Local synthetic demo</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TLS, encryption at rest, key management, backup and recovery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Logging</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No raw health text in logs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Central secure logs, retention, tamper detection, incident monitoring</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Audit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Append-only disposition events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Immutable/controlled ledger, review and appeal process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Model bias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Exclude demographics from core scoring; subgroup test where meaningful</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Representative validation, fairness monitoring, documented response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False accusation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“Risk/anomaly requiring review”; human confirmation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Policy, training, appeal, evidence threshold, legal review</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LLM hallucination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No LLM in decision; optional bounded summary</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Approved deployment, prompt/output validation, monitoring, red-team</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Prompt/data leakage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No external LLM default; structured inputs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Data-loss prevention, tenant isolation, provider agreements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Model misuse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UI and API prohibit automatic denial/sanction</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Authorization, downstream-use controls, contractual limitations</w:t>
            </w:r>
          </w:p>
        </w:tc>
      </w:tr>
    </w:tbl>
    <w:p>
      <w:pPr>
        <w:spacing w:before="0" w:after="60"/>
      </w:pPr>
    </w:p>
    <w:p>
      <w:pPr>
        <w:pStyle w:val="Heading2"/>
      </w:pPr>
      <w:r>
        <w:rPr>
          <w:rFonts w:ascii="Calibri" w:hAnsi="Calibri" w:eastAsia="Calibri"/>
          <w:b/>
        </w:rPr>
        <w:t>Threat scenarios and response</w:t>
      </w:r>
    </w:p>
    <w:p>
      <w:pPr>
        <w:keepLines/>
        <w:spacing w:after="80" w:line="300" w:lineRule="auto"/>
        <w:numPr>
          <w:ilvl w:val="0"/>
          <w:numId w:val="49"/>
        </w:numPr>
      </w:pPr>
      <w:r>
        <w:rPr>
          <w:rFonts w:ascii="Calibri" w:hAnsi="Calibri" w:eastAsia="Calibri"/>
          <w:b/>
          <w:sz w:val="21"/>
        </w:rPr>
        <w:t>Incomplete RME looks like phantom billing.</w:t>
      </w:r>
      <w:r>
        <w:rPr>
          <w:rFonts w:ascii="Calibri" w:hAnsi="Calibri" w:eastAsia="Calibri"/>
          <w:b w:val="0"/>
          <w:sz w:val="21"/>
        </w:rPr>
        <w:t xml:space="preserve"> Display bundle completeness and counter-evidence; route to “request evidence,” not accusation.</w:t>
      </w:r>
    </w:p>
    <w:p>
      <w:pPr>
        <w:keepLines/>
        <w:spacing w:after="80" w:line="300" w:lineRule="auto"/>
        <w:numPr>
          <w:ilvl w:val="0"/>
          <w:numId w:val="49"/>
        </w:numPr>
      </w:pPr>
      <w:r>
        <w:rPr>
          <w:rFonts w:ascii="Calibri" w:hAnsi="Calibri" w:eastAsia="Calibri"/>
          <w:b/>
          <w:sz w:val="21"/>
        </w:rPr>
        <w:t>Legitimate templating looks like cloning.</w:t>
      </w:r>
      <w:r>
        <w:rPr>
          <w:rFonts w:ascii="Calibri" w:hAnsi="Calibri" w:eastAsia="Calibri"/>
          <w:b w:val="0"/>
          <w:sz w:val="21"/>
        </w:rPr>
        <w:t xml:space="preserve"> Require cross-feature corroboration; text similarity alone cannot reach the highest band.</w:t>
      </w:r>
    </w:p>
    <w:p>
      <w:pPr>
        <w:keepLines/>
        <w:spacing w:after="80" w:line="300" w:lineRule="auto"/>
        <w:numPr>
          <w:ilvl w:val="0"/>
          <w:numId w:val="49"/>
        </w:numPr>
      </w:pPr>
      <w:r>
        <w:rPr>
          <w:rFonts w:ascii="Calibri" w:hAnsi="Calibri" w:eastAsia="Calibri"/>
          <w:b/>
          <w:sz w:val="21"/>
        </w:rPr>
        <w:t>Reviewer anchors on red score.</w:t>
      </w:r>
      <w:r>
        <w:rPr>
          <w:rFonts w:ascii="Calibri" w:hAnsi="Calibri" w:eastAsia="Calibri"/>
          <w:b w:val="0"/>
          <w:sz w:val="21"/>
        </w:rPr>
        <w:t xml:space="preserve"> Show reason before score, include counter-evidence, and require a reason for confirmation.</w:t>
      </w:r>
    </w:p>
    <w:p>
      <w:pPr>
        <w:keepLines/>
        <w:spacing w:after="80" w:line="300" w:lineRule="auto"/>
        <w:numPr>
          <w:ilvl w:val="0"/>
          <w:numId w:val="49"/>
        </w:numPr>
      </w:pPr>
      <w:r>
        <w:rPr>
          <w:rFonts w:ascii="Calibri" w:hAnsi="Calibri" w:eastAsia="Calibri"/>
          <w:b/>
          <w:sz w:val="21"/>
        </w:rPr>
        <w:t>Adversary learns thresholds.</w:t>
      </w:r>
      <w:r>
        <w:rPr>
          <w:rFonts w:ascii="Calibri" w:hAnsi="Calibri" w:eastAsia="Calibri"/>
          <w:b w:val="0"/>
          <w:sz w:val="21"/>
        </w:rPr>
        <w:t xml:space="preserve"> Version rules, monitor distribution shift, combine deterministic and peer signals, and limit detail by role.</w:t>
      </w:r>
    </w:p>
    <w:p>
      <w:pPr>
        <w:keepLines/>
        <w:spacing w:after="80" w:line="300" w:lineRule="auto"/>
        <w:numPr>
          <w:ilvl w:val="0"/>
          <w:numId w:val="49"/>
        </w:numPr>
      </w:pPr>
      <w:r>
        <w:rPr>
          <w:rFonts w:ascii="Calibri" w:hAnsi="Calibri" w:eastAsia="Calibri"/>
          <w:b/>
          <w:sz w:val="21"/>
        </w:rPr>
        <w:t>Sensitive text appears in logs or exports.</w:t>
      </w:r>
      <w:r>
        <w:rPr>
          <w:rFonts w:ascii="Calibri" w:hAnsi="Calibri" w:eastAsia="Calibri"/>
          <w:b w:val="0"/>
          <w:sz w:val="21"/>
        </w:rPr>
        <w:t xml:space="preserve"> Redact by default, test logging, and restrict case export.</w:t>
      </w:r>
    </w:p>
    <w:p>
      <w:pPr>
        <w:keepLines/>
        <w:spacing w:after="80" w:line="300" w:lineRule="auto"/>
        <w:numPr>
          <w:ilvl w:val="0"/>
          <w:numId w:val="49"/>
        </w:numPr>
      </w:pPr>
      <w:r>
        <w:rPr>
          <w:rFonts w:ascii="Calibri" w:hAnsi="Calibri" w:eastAsia="Calibri"/>
          <w:b/>
          <w:sz w:val="21"/>
        </w:rPr>
        <w:t>Model performance drifts.</w:t>
      </w:r>
      <w:r>
        <w:rPr>
          <w:rFonts w:ascii="Calibri" w:hAnsi="Calibri" w:eastAsia="Calibri"/>
          <w:b w:val="0"/>
          <w:sz w:val="21"/>
        </w:rPr>
        <w:t xml:space="preserve"> Track feature and reason distributions; sample low-risk cases; require revalidation before model changes.</w:t>
      </w:r>
    </w:p>
    <w:p>
      <w:pPr>
        <w:keepLines/>
        <w:spacing w:after="80" w:line="300" w:lineRule="auto"/>
        <w:numPr>
          <w:ilvl w:val="0"/>
          <w:numId w:val="49"/>
        </w:numPr>
      </w:pPr>
      <w:r>
        <w:rPr>
          <w:rFonts w:ascii="Calibri" w:hAnsi="Calibri" w:eastAsia="Calibri"/>
          <w:b/>
          <w:sz w:val="21"/>
        </w:rPr>
        <w:t>A disposition is edited after the fact.</w:t>
      </w:r>
      <w:r>
        <w:rPr>
          <w:rFonts w:ascii="Calibri" w:hAnsi="Calibri" w:eastAsia="Calibri"/>
          <w:b w:val="0"/>
          <w:sz w:val="21"/>
        </w:rPr>
        <w:t xml:space="preserve"> Append a superseding event; never overwrite history.</w:t>
      </w:r>
    </w:p>
    <w:p>
      <w:pPr>
        <w:pStyle w:val="Heading2"/>
      </w:pPr>
      <w:r>
        <w:rPr>
          <w:rFonts w:ascii="Calibri" w:hAnsi="Calibri" w:eastAsia="Calibri"/>
          <w:b/>
        </w:rPr>
        <w:t>Human accountability</w:t>
      </w:r>
    </w:p>
    <w:p>
      <w:pPr/>
      <w:r>
        <w:rPr>
          <w:rFonts w:ascii="Calibri" w:hAnsi="Calibri" w:eastAsia="Calibri"/>
          <w:b w:val="0"/>
        </w:rPr>
        <w:t>AI detects and prioritizes → evidence and uncertainty are shown → a trained human reviews → the human confirms, rejects, requests evidence, or escalates → the system records the decision, rationale, evidence, and version. The future operating policy must specify who may make each decision and how affected facilities can respond or appeal.</w:t>
      </w:r>
    </w:p>
    <w:p>
      <w:pPr>
        <w:pStyle w:val="Heading2"/>
      </w:pPr>
      <w:r>
        <w:rPr>
          <w:rFonts w:ascii="Calibri" w:hAnsi="Calibri" w:eastAsia="Calibri"/>
          <w:b/>
        </w:rPr>
        <w:t>Governance deliverables</w:t>
      </w:r>
    </w:p>
    <w:p>
      <w:pPr>
        <w:keepLines/>
        <w:spacing w:after="80" w:line="300" w:lineRule="auto"/>
        <w:numPr>
          <w:ilvl w:val="0"/>
          <w:numId w:val="50"/>
        </w:numPr>
      </w:pPr>
      <w:r>
        <w:rPr>
          <w:rFonts w:ascii="Calibri" w:hAnsi="Calibri" w:eastAsia="Calibri"/>
          <w:b w:val="0"/>
          <w:sz w:val="21"/>
        </w:rPr>
        <w:t>Data card and model card.</w:t>
      </w:r>
    </w:p>
    <w:p>
      <w:pPr>
        <w:keepLines/>
        <w:spacing w:after="80" w:line="300" w:lineRule="auto"/>
        <w:numPr>
          <w:ilvl w:val="0"/>
          <w:numId w:val="50"/>
        </w:numPr>
      </w:pPr>
      <w:r>
        <w:rPr>
          <w:rFonts w:ascii="Calibri" w:hAnsi="Calibri" w:eastAsia="Calibri"/>
          <w:b w:val="0"/>
          <w:sz w:val="21"/>
        </w:rPr>
        <w:t>System purpose and prohibited-use statement.</w:t>
      </w:r>
    </w:p>
    <w:p>
      <w:pPr>
        <w:keepLines/>
        <w:spacing w:after="80" w:line="300" w:lineRule="auto"/>
        <w:numPr>
          <w:ilvl w:val="0"/>
          <w:numId w:val="50"/>
        </w:numPr>
      </w:pPr>
      <w:r>
        <w:rPr>
          <w:rFonts w:ascii="Calibri" w:hAnsi="Calibri" w:eastAsia="Calibri"/>
          <w:b w:val="0"/>
          <w:sz w:val="21"/>
        </w:rPr>
        <w:t>Role/access matrix.</w:t>
      </w:r>
    </w:p>
    <w:p>
      <w:pPr>
        <w:keepLines/>
        <w:spacing w:after="80" w:line="300" w:lineRule="auto"/>
        <w:numPr>
          <w:ilvl w:val="0"/>
          <w:numId w:val="50"/>
        </w:numPr>
      </w:pPr>
      <w:r>
        <w:rPr>
          <w:rFonts w:ascii="Calibri" w:hAnsi="Calibri" w:eastAsia="Calibri"/>
          <w:b w:val="0"/>
          <w:sz w:val="21"/>
        </w:rPr>
        <w:t>Threat model and privacy impact checklist.</w:t>
      </w:r>
    </w:p>
    <w:p>
      <w:pPr>
        <w:keepLines/>
        <w:spacing w:after="80" w:line="300" w:lineRule="auto"/>
        <w:numPr>
          <w:ilvl w:val="0"/>
          <w:numId w:val="50"/>
        </w:numPr>
      </w:pPr>
      <w:r>
        <w:rPr>
          <w:rFonts w:ascii="Calibri" w:hAnsi="Calibri" w:eastAsia="Calibri"/>
          <w:b w:val="0"/>
          <w:sz w:val="21"/>
        </w:rPr>
        <w:t>Rule/model change-control process.</w:t>
      </w:r>
    </w:p>
    <w:p>
      <w:pPr>
        <w:keepLines/>
        <w:spacing w:after="80" w:line="300" w:lineRule="auto"/>
        <w:numPr>
          <w:ilvl w:val="0"/>
          <w:numId w:val="50"/>
        </w:numPr>
      </w:pPr>
      <w:r>
        <w:rPr>
          <w:rFonts w:ascii="Calibri" w:hAnsi="Calibri" w:eastAsia="Calibri"/>
          <w:b w:val="0"/>
          <w:sz w:val="21"/>
        </w:rPr>
        <w:t>Audit schema and retention proposal.</w:t>
      </w:r>
    </w:p>
    <w:p>
      <w:pPr>
        <w:keepLines/>
        <w:spacing w:after="80" w:line="300" w:lineRule="auto"/>
        <w:numPr>
          <w:ilvl w:val="0"/>
          <w:numId w:val="50"/>
        </w:numPr>
      </w:pPr>
      <w:r>
        <w:rPr>
          <w:rFonts w:ascii="Calibri" w:hAnsi="Calibri" w:eastAsia="Calibri"/>
          <w:b w:val="0"/>
          <w:sz w:val="21"/>
        </w:rPr>
        <w:t>Incident and false-positive response runbook.</w:t>
      </w:r>
    </w:p>
    <w:p>
      <w:pPr>
        <w:keepLines/>
        <w:spacing w:after="80" w:line="300" w:lineRule="auto"/>
        <w:numPr>
          <w:ilvl w:val="0"/>
          <w:numId w:val="50"/>
        </w:numPr>
      </w:pPr>
      <w:r>
        <w:rPr>
          <w:rFonts w:ascii="Calibri" w:hAnsi="Calibri" w:eastAsia="Calibri"/>
          <w:b w:val="0"/>
          <w:sz w:val="21"/>
        </w:rPr>
        <w:t>Pilot ethics and expert-validation plan.</w:t>
      </w:r>
    </w:p>
    <w:p>
      <w:pPr>
        <w:pStyle w:val="Heading1"/>
        <w:pageBreakBefore/>
      </w:pPr>
      <w:r>
        <w:rPr>
          <w:rFonts w:ascii="Calibri" w:hAnsi="Calibri" w:eastAsia="Calibri"/>
          <w:b/>
        </w:rPr>
        <w:t>17. Team Roles &amp; Execution Model</w:t>
      </w:r>
    </w:p>
    <w:p>
      <w:pPr>
        <w:pStyle w:val="Heading2"/>
      </w:pPr>
      <w:r>
        <w:rPr>
          <w:rFonts w:ascii="Calibri" w:hAnsi="Calibri" w:eastAsia="Calibri"/>
          <w:b/>
        </w:rPr>
        <w:t>Refined ownership</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700"/>
        <w:gridCol w:w="2050"/>
        <w:gridCol w:w="1950"/>
        <w:gridCol w:w="1800"/>
        <w:gridCol w:w="1860"/>
      </w:tblGrid>
      <w:tr>
        <w:trPr>
          <w:tblHeader w:val="true"/>
        </w:trPr>
        <w:tc>
          <w:tcPr>
            <w:tcW w:type="dxa" w:w="1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Workstream</w:t>
            </w:r>
          </w:p>
        </w:tc>
        <w:tc>
          <w:tcPr>
            <w:tcW w:type="dxa" w:w="20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Directly Responsible</w:t>
            </w:r>
          </w:p>
        </w:tc>
        <w:tc>
          <w:tcPr>
            <w:tcW w:type="dxa" w:w="19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Accountable decision owner</w:t>
            </w:r>
          </w:p>
        </w:tc>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Consulted / reviewer</w:t>
            </w:r>
          </w:p>
        </w:tc>
        <w:tc>
          <w:tcPr>
            <w:tcW w:type="dxa" w:w="18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Output</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Official rules and compliance matrix</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All</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Competition brief, submission checklist</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Product scope and primary workflow</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2</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2</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Members 1 and 3</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Product decision, Figma, acceptance flow</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Domain mode definitions</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1 for observability; Member 2 for workflow</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Mode-to-field/evidence matrix, assumptions</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Architecture and API</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1</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1</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2</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ADR, OpenAPI, fixtures</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Synthetic data and codebook</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Members 1 and 2</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2 for provenance; Member 1 for generator</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Generator, manifest, data card</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Rules/models and evaluation</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1</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1</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 for claim discipline; Member 2 for case review</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Engine, test set, evaluation report</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UX and frontend</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2</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2</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1 for contracts; Member 3 for language</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Working web flow</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Privacy/governance</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1 for controls; Member 2 for UI</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Threat model, governance slide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Proposal evidence/story</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All; criterion owner checks</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16-slide deck and evidence map</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Demo runbook</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2</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2</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Members 1 and 3</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90-second and 3-minute demos</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Scope/gates/project tracking</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Member 3</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All</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Daily board, decisions, risk register</w:t>
            </w:r>
          </w:p>
        </w:tc>
      </w:tr>
    </w:tbl>
    <w:p>
      <w:pPr>
        <w:spacing w:before="0" w:after="60"/>
      </w:pPr>
    </w:p>
    <w:p>
      <w:pPr>
        <w:pStyle w:val="Heading2"/>
      </w:pPr>
      <w:r>
        <w:rPr>
          <w:rFonts w:ascii="Calibri" w:hAnsi="Calibri" w:eastAsia="Calibri"/>
          <w:b/>
        </w:rPr>
        <w:t>Decision rules</w:t>
      </w:r>
    </w:p>
    <w:p>
      <w:pPr>
        <w:keepLines/>
        <w:spacing w:after="80" w:line="300" w:lineRule="auto"/>
        <w:numPr>
          <w:ilvl w:val="0"/>
          <w:numId w:val="51"/>
        </w:numPr>
      </w:pPr>
      <w:r>
        <w:rPr>
          <w:rFonts w:ascii="Calibri" w:hAnsi="Calibri" w:eastAsia="Calibri"/>
          <w:b w:val="0"/>
          <w:sz w:val="21"/>
        </w:rPr>
        <w:t>Member 1 has veto on unsupported technical claims and untestable model design.</w:t>
      </w:r>
    </w:p>
    <w:p>
      <w:pPr>
        <w:keepLines/>
        <w:spacing w:after="80" w:line="300" w:lineRule="auto"/>
        <w:numPr>
          <w:ilvl w:val="0"/>
          <w:numId w:val="51"/>
        </w:numPr>
      </w:pPr>
      <w:r>
        <w:rPr>
          <w:rFonts w:ascii="Calibri" w:hAnsi="Calibri" w:eastAsia="Calibri"/>
          <w:b w:val="0"/>
          <w:sz w:val="21"/>
        </w:rPr>
        <w:t>Member 2 has veto on a workflow a primary user cannot understand or complete.</w:t>
      </w:r>
    </w:p>
    <w:p>
      <w:pPr>
        <w:keepLines/>
        <w:spacing w:after="80" w:line="300" w:lineRule="auto"/>
        <w:numPr>
          <w:ilvl w:val="0"/>
          <w:numId w:val="51"/>
        </w:numPr>
      </w:pPr>
      <w:r>
        <w:rPr>
          <w:rFonts w:ascii="Calibri" w:hAnsi="Calibri" w:eastAsia="Calibri"/>
          <w:b w:val="0"/>
          <w:sz w:val="21"/>
        </w:rPr>
        <w:t>Member 3 has veto on rule violations, uncited facts, privacy overclaim, and proposal claims not backed by artifacts.</w:t>
      </w:r>
    </w:p>
    <w:p>
      <w:pPr>
        <w:keepLines/>
        <w:spacing w:after="80" w:line="300" w:lineRule="auto"/>
        <w:numPr>
          <w:ilvl w:val="0"/>
          <w:numId w:val="51"/>
        </w:numPr>
      </w:pPr>
      <w:r>
        <w:rPr>
          <w:rFonts w:ascii="Calibri" w:hAnsi="Calibri" w:eastAsia="Calibri"/>
          <w:b w:val="0"/>
          <w:sz w:val="21"/>
        </w:rPr>
        <w:t>Scope changes require the owner to name the judging evidence gained and the item removed.</w:t>
      </w:r>
    </w:p>
    <w:p>
      <w:pPr>
        <w:keepLines/>
        <w:spacing w:after="80" w:line="300" w:lineRule="auto"/>
        <w:numPr>
          <w:ilvl w:val="0"/>
          <w:numId w:val="51"/>
        </w:numPr>
      </w:pPr>
      <w:r>
        <w:rPr>
          <w:rFonts w:ascii="Calibri" w:hAnsi="Calibri" w:eastAsia="Calibri"/>
          <w:b w:val="0"/>
          <w:sz w:val="21"/>
        </w:rPr>
        <w:t>If a gate fails, the listed fallback executes; do not defer the decision without a new dated evidence test.</w:t>
      </w:r>
    </w:p>
    <w:p>
      <w:pPr>
        <w:pStyle w:val="Heading2"/>
      </w:pPr>
      <w:r>
        <w:rPr>
          <w:rFonts w:ascii="Calibri" w:hAnsi="Calibri" w:eastAsia="Calibri"/>
          <w:b/>
        </w:rPr>
        <w:t>Parallel workstreams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700"/>
        <w:gridCol w:w="2050"/>
        <w:gridCol w:w="1950"/>
        <w:gridCol w:w="1800"/>
        <w:gridCol w:w="1860"/>
      </w:tblGrid>
      <w:tr>
        <w:trPr>
          <w:tblHeader w:val="true"/>
        </w:trPr>
        <w:tc>
          <w:tcPr>
            <w:tcW w:type="dxa" w:w="1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Track</w:t>
            </w:r>
          </w:p>
        </w:tc>
        <w:tc>
          <w:tcPr>
            <w:tcW w:type="dxa" w:w="20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Member 1</w:t>
            </w:r>
          </w:p>
        </w:tc>
        <w:tc>
          <w:tcPr>
            <w:tcW w:type="dxa" w:w="19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Member 2</w:t>
            </w:r>
          </w:p>
        </w:tc>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Member 3</w:t>
            </w:r>
          </w:p>
        </w:tc>
        <w:tc>
          <w:tcPr>
            <w:tcW w:type="dxa" w:w="18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Synchronization artifact</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Discovery</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Feasibility spike</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Data/competitor inventory, user flow</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Official brief, evidence ledger</w:t>
            </w:r>
          </w:p>
        </w:tc>
        <w:tc>
          <w:tcPr>
            <w:tcW w:type="dxa" w:w="1860"/>
            <w:tcMar>
              <w:top w:w="80" w:type="dxa"/>
              <w:start w:w="120" w:type="dxa"/>
              <w:bottom w:w="80" w:type="dxa"/>
              <w:end w:w="120" w:type="dxa"/>
            </w:tcMar>
            <w:vAlign w:val="top"/>
          </w:tcPr>
          <w:p>
            <w:pPr>
              <w:spacing w:before="0" w:after="0" w:line="240" w:lineRule="auto"/>
            </w:pPr>
            <w:r>
              <w:rPr>
                <w:rFonts w:ascii="Consolas" w:hAnsi="Consolas" w:eastAsia="Consolas"/>
                <w:color w:val="1F4D78"/>
                <w:sz w:val="13"/>
              </w:rPr>
              <w:t>docs/01_product_decision.md</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Data</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Generator/adapter</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Codebook, fixtures, QA</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Provenance/license review</w:t>
            </w:r>
          </w:p>
        </w:tc>
        <w:tc>
          <w:tcPr>
            <w:tcW w:type="dxa" w:w="1860"/>
            <w:tcMar>
              <w:top w:w="80" w:type="dxa"/>
              <w:start w:w="120" w:type="dxa"/>
              <w:bottom w:w="80" w:type="dxa"/>
              <w:end w:w="120" w:type="dxa"/>
            </w:tcMar>
            <w:vAlign w:val="top"/>
          </w:tcPr>
          <w:p>
            <w:pPr>
              <w:spacing w:before="0" w:after="0" w:line="240" w:lineRule="auto"/>
            </w:pPr>
            <w:r>
              <w:rPr>
                <w:rFonts w:ascii="Consolas" w:hAnsi="Consolas" w:eastAsia="Consolas"/>
                <w:color w:val="1F4D78"/>
                <w:sz w:val="13"/>
              </w:rPr>
              <w:t>docs/04_data_card.md</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Product</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API fixtures</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Figma and React</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Risk language and copy QA</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OpenAPI + fixture JSON</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Engine</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Rules/model</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False-positive case review</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Mode-definition QA</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Reason-code catalog</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Evaluation</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Harness/results</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Charts/screenshots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Interpretation/limitations</w:t>
            </w:r>
          </w:p>
        </w:tc>
        <w:tc>
          <w:tcPr>
            <w:tcW w:type="dxa" w:w="1860"/>
            <w:tcMar>
              <w:top w:w="80" w:type="dxa"/>
              <w:start w:w="120" w:type="dxa"/>
              <w:bottom w:w="80" w:type="dxa"/>
              <w:end w:w="120" w:type="dxa"/>
            </w:tcMar>
            <w:vAlign w:val="top"/>
          </w:tcPr>
          <w:p>
            <w:pPr>
              <w:spacing w:before="0" w:after="0" w:line="240" w:lineRule="auto"/>
            </w:pPr>
            <w:r>
              <w:rPr>
                <w:rFonts w:ascii="Consolas" w:hAnsi="Consolas" w:eastAsia="Consolas"/>
                <w:color w:val="1F4D78"/>
                <w:sz w:val="13"/>
              </w:rPr>
              <w:t>docs/06_evaluation_plan.md</w:t>
            </w:r>
            <w:r>
              <w:rPr>
                <w:rFonts w:ascii="Calibri" w:hAnsi="Calibri" w:eastAsia="Calibri"/>
                <w:b w:val="0"/>
                <w:color w:val="0B2545"/>
                <w:sz w:val="14"/>
              </w:rPr>
              <w:t xml:space="preserve"> + run artifact</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Proposal</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Technical figures</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UI visuals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Narrative/deck</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Evidence-to-slide matrix</w:t>
            </w:r>
          </w:p>
        </w:tc>
      </w:tr>
    </w:tbl>
    <w:p>
      <w:pPr>
        <w:spacing w:before="0" w:after="60"/>
      </w:pPr>
    </w:p>
    <w:p>
      <w:pPr>
        <w:pStyle w:val="Heading2"/>
      </w:pPr>
      <w:r>
        <w:rPr>
          <w:rFonts w:ascii="Calibri" w:hAnsi="Calibri" w:eastAsia="Calibri"/>
          <w:b/>
        </w:rPr>
        <w:t>Daily cadence</w:t>
      </w:r>
    </w:p>
    <w:p>
      <w:pPr>
        <w:keepLines/>
        <w:spacing w:after="80" w:line="300" w:lineRule="auto"/>
        <w:numPr>
          <w:ilvl w:val="0"/>
          <w:numId w:val="52"/>
        </w:numPr>
      </w:pPr>
      <w:r>
        <w:rPr>
          <w:rFonts w:ascii="Calibri" w:hAnsi="Calibri" w:eastAsia="Calibri"/>
          <w:b/>
          <w:sz w:val="21"/>
        </w:rPr>
        <w:t>09:00 — 15 minutes:</w:t>
      </w:r>
      <w:r>
        <w:rPr>
          <w:rFonts w:ascii="Calibri" w:hAnsi="Calibri" w:eastAsia="Calibri"/>
          <w:b w:val="0"/>
          <w:sz w:val="21"/>
        </w:rPr>
        <w:t xml:space="preserve"> gate status, top blocker, decision needed; Member 3 updates board.</w:t>
      </w:r>
    </w:p>
    <w:p>
      <w:pPr>
        <w:keepLines/>
        <w:spacing w:after="80" w:line="300" w:lineRule="auto"/>
        <w:numPr>
          <w:ilvl w:val="0"/>
          <w:numId w:val="52"/>
        </w:numPr>
      </w:pPr>
      <w:r>
        <w:rPr>
          <w:rFonts w:ascii="Calibri" w:hAnsi="Calibri" w:eastAsia="Calibri"/>
          <w:b/>
          <w:sz w:val="21"/>
        </w:rPr>
        <w:t>13:00 — 20 minutes:</w:t>
      </w:r>
      <w:r>
        <w:rPr>
          <w:rFonts w:ascii="Calibri" w:hAnsi="Calibri" w:eastAsia="Calibri"/>
          <w:b w:val="0"/>
          <w:sz w:val="21"/>
        </w:rPr>
        <w:t xml:space="preserve"> contract integration; Member 1 publishes fixtures/API changes, Member 2 reports UI mismatches, Member 3 checks claims.</w:t>
      </w:r>
    </w:p>
    <w:p>
      <w:pPr>
        <w:keepLines/>
        <w:spacing w:after="80" w:line="300" w:lineRule="auto"/>
        <w:numPr>
          <w:ilvl w:val="0"/>
          <w:numId w:val="52"/>
        </w:numPr>
      </w:pPr>
      <w:r>
        <w:rPr>
          <w:rFonts w:ascii="Calibri" w:hAnsi="Calibri" w:eastAsia="Calibri"/>
          <w:b/>
          <w:sz w:val="21"/>
        </w:rPr>
        <w:t>17:00 — 30 minutes:</w:t>
      </w:r>
      <w:r>
        <w:rPr>
          <w:rFonts w:ascii="Calibri" w:hAnsi="Calibri" w:eastAsia="Calibri"/>
          <w:b w:val="0"/>
          <w:sz w:val="21"/>
        </w:rPr>
        <w:t xml:space="preserve"> working-demo playback from clean state; record one artifact and one risk. No status slides.</w:t>
      </w:r>
    </w:p>
    <w:p>
      <w:pPr>
        <w:keepLines/>
        <w:spacing w:after="80" w:line="300" w:lineRule="auto"/>
        <w:numPr>
          <w:ilvl w:val="0"/>
          <w:numId w:val="52"/>
        </w:numPr>
      </w:pPr>
      <w:r>
        <w:rPr>
          <w:rFonts w:ascii="Calibri" w:hAnsi="Calibri" w:eastAsia="Calibri"/>
          <w:b/>
          <w:sz w:val="21"/>
        </w:rPr>
        <w:t>Every second day — 45 minutes:</w:t>
      </w:r>
      <w:r>
        <w:rPr>
          <w:rFonts w:ascii="Calibri" w:hAnsi="Calibri" w:eastAsia="Calibri"/>
          <w:b w:val="0"/>
          <w:sz w:val="21"/>
        </w:rPr>
        <w:t xml:space="preserve"> red-team review against the six official dimensions.</w:t>
      </w:r>
    </w:p>
    <w:p>
      <w:pPr>
        <w:pStyle w:val="Heading2"/>
      </w:pPr>
      <w:r>
        <w:rPr>
          <w:rFonts w:ascii="Calibri" w:hAnsi="Calibri" w:eastAsia="Calibri"/>
          <w:b/>
        </w:rPr>
        <w:t>Review responsibilities</w:t>
      </w:r>
    </w:p>
    <w:p>
      <w:pPr>
        <w:keepLines/>
        <w:spacing w:after="80" w:line="300" w:lineRule="auto"/>
        <w:numPr>
          <w:ilvl w:val="0"/>
          <w:numId w:val="53"/>
        </w:numPr>
      </w:pPr>
      <w:r>
        <w:rPr>
          <w:rFonts w:ascii="Calibri" w:hAnsi="Calibri" w:eastAsia="Calibri"/>
          <w:b w:val="0"/>
          <w:sz w:val="21"/>
        </w:rPr>
        <w:t>No pull request merges without one non-author reviewer and passing tests.</w:t>
      </w:r>
    </w:p>
    <w:p>
      <w:pPr>
        <w:keepLines/>
        <w:spacing w:after="80" w:line="300" w:lineRule="auto"/>
        <w:numPr>
          <w:ilvl w:val="0"/>
          <w:numId w:val="53"/>
        </w:numPr>
      </w:pPr>
      <w:r>
        <w:rPr>
          <w:rFonts w:ascii="Calibri" w:hAnsi="Calibri" w:eastAsia="Calibri"/>
          <w:b w:val="0"/>
          <w:sz w:val="21"/>
        </w:rPr>
        <w:t>Member 2 reviews backend responses for task usefulness; Member 1 reviews frontend assumptions; Member 3 reviews visible claims/labels.</w:t>
      </w:r>
    </w:p>
    <w:p>
      <w:pPr>
        <w:keepLines/>
        <w:spacing w:after="80" w:line="300" w:lineRule="auto"/>
        <w:numPr>
          <w:ilvl w:val="0"/>
          <w:numId w:val="53"/>
        </w:numPr>
      </w:pPr>
      <w:r>
        <w:rPr>
          <w:rFonts w:ascii="Calibri" w:hAnsi="Calibri" w:eastAsia="Calibri"/>
          <w:b w:val="0"/>
          <w:sz w:val="21"/>
        </w:rPr>
        <w:t>Member 3 maintains a “claim ledger”: every proposal number or performance statement points to a source or generated artifact.</w:t>
      </w:r>
    </w:p>
    <w:p>
      <w:pPr>
        <w:keepLines/>
        <w:spacing w:after="80" w:line="300" w:lineRule="auto"/>
        <w:numPr>
          <w:ilvl w:val="0"/>
          <w:numId w:val="53"/>
        </w:numPr>
      </w:pPr>
      <w:r>
        <w:rPr>
          <w:rFonts w:ascii="Calibri" w:hAnsi="Calibri" w:eastAsia="Calibri"/>
          <w:b w:val="0"/>
          <w:sz w:val="21"/>
        </w:rPr>
        <w:t>Member 1 signs the reproducibility checklist; Member 2 signs the demo/usability checklist; Member 3 signs the official submission checklist.</w:t>
      </w:r>
    </w:p>
    <w:p>
      <w:pPr>
        <w:pStyle w:val="Heading2"/>
      </w:pPr>
      <w:r>
        <w:rPr>
          <w:rFonts w:ascii="Calibri" w:hAnsi="Calibri" w:eastAsia="Calibri"/>
          <w:b/>
        </w:rPr>
        <w:t>AI-tool acceleration, with controls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Member</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Good use of AI tools</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Mandatory human check</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Scaffold APIs/tests, generate edge cases, refactor, explain logs, draft experiment scripts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Run all code, inspect dependencies, validate metrics and leakage, review security</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2</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Summarize data dictionaries, generate fixture variations, propose UI copy/states, accelerate frontend boilerplate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Verify source fields, test workflow, inspect accessibility and every displayed number</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3</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Extract/cross-check sources, build claim/citation matrix, red-team narrative, draft tables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Read primary sources, verify page/URL/date, remove unsupported claims, own final wording</w:t>
            </w:r>
          </w:p>
        </w:tc>
      </w:tr>
    </w:tbl>
    <w:p>
      <w:pPr>
        <w:spacing w:before="0" w:after="60"/>
      </w:pPr>
    </w:p>
    <w:p>
      <w:pPr>
        <w:pStyle w:val="Heading1"/>
        <w:pageBreakBefore/>
      </w:pPr>
      <w:r>
        <w:rPr>
          <w:rFonts w:ascii="Calibri" w:hAnsi="Calibri" w:eastAsia="Calibri"/>
          <w:b/>
        </w:rPr>
        <w:t>18. Execution Roadmap — 29 August to Submission</w:t>
      </w:r>
    </w:p>
    <w:p>
      <w:pPr>
        <w:pStyle w:val="Heading2"/>
      </w:pPr>
      <w:r>
        <w:rPr>
          <w:rFonts w:ascii="Calibri" w:hAnsi="Calibri" w:eastAsia="Calibri"/>
          <w:b/>
        </w:rPr>
        <w:t>Official clock</w:t>
      </w:r>
    </w:p>
    <w:p>
      <w:pPr/>
      <w:r>
        <w:rPr>
          <w:rFonts w:ascii="Calibri" w:hAnsi="Calibri" w:eastAsia="Calibri"/>
          <w:b w:val="0"/>
        </w:rPr>
        <w:t xml:space="preserve">Registration closes </w:t>
      </w:r>
      <w:r>
        <w:rPr>
          <w:rFonts w:ascii="Calibri" w:hAnsi="Calibri" w:eastAsia="Calibri"/>
          <w:b/>
        </w:rPr>
        <w:t>14 September 2026</w:t>
      </w:r>
      <w:r>
        <w:rPr>
          <w:rFonts w:ascii="Calibri" w:hAnsi="Calibri" w:eastAsia="Calibri"/>
          <w:b w:val="0"/>
        </w:rPr>
        <w:t xml:space="preserve"> and proposal submission closes </w:t>
      </w:r>
      <w:r>
        <w:rPr>
          <w:rFonts w:ascii="Calibri" w:hAnsi="Calibri" w:eastAsia="Calibri"/>
          <w:b/>
        </w:rPr>
        <w:t>19 September 2026</w:t>
      </w:r>
      <w:r>
        <w:rPr>
          <w:rFonts w:ascii="Calibri" w:hAnsi="Calibri" w:eastAsia="Calibri"/>
          <w:b w:val="0"/>
        </w:rPr>
        <w:t xml:space="preserve">. [PDF-PG p. 8] The internal upload target is </w:t>
      </w:r>
      <w:r>
        <w:rPr>
          <w:rFonts w:ascii="Calibri" w:hAnsi="Calibri" w:eastAsia="Calibri"/>
          <w:b/>
        </w:rPr>
        <w:t>18 September</w:t>
      </w:r>
      <w:r>
        <w:rPr>
          <w:rFonts w:ascii="Calibri" w:hAnsi="Calibri" w:eastAsia="Calibri"/>
          <w:b w:val="0"/>
        </w:rPr>
        <w:t>; 19 September is emergency recovery only.</w:t>
      </w:r>
    </w:p>
    <w:p>
      <w:pPr>
        <w:pStyle w:val="Heading2"/>
      </w:pPr>
      <w:r>
        <w:rPr>
          <w:rFonts w:ascii="Calibri" w:hAnsi="Calibri" w:eastAsia="Calibri"/>
          <w:b/>
        </w:rPr>
        <w:t>Day-by-day plan</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700"/>
        <w:gridCol w:w="2050"/>
        <w:gridCol w:w="1950"/>
        <w:gridCol w:w="1800"/>
        <w:gridCol w:w="1860"/>
      </w:tblGrid>
      <w:tr>
        <w:trPr>
          <w:tblHeader w:val="true"/>
        </w:trPr>
        <w:tc>
          <w:tcPr>
            <w:tcW w:type="dxa" w:w="1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Date</w:t>
            </w:r>
          </w:p>
        </w:tc>
        <w:tc>
          <w:tcPr>
            <w:tcW w:type="dxa" w:w="20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Member 1 — Tech/AI</w:t>
            </w:r>
          </w:p>
        </w:tc>
        <w:tc>
          <w:tcPr>
            <w:tcW w:type="dxa" w:w="195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Member 2 — Product/UX/Data</w:t>
            </w:r>
          </w:p>
        </w:tc>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Member 3 — Research/Proposal/PM</w:t>
            </w:r>
          </w:p>
        </w:tc>
        <w:tc>
          <w:tcPr>
            <w:tcW w:type="dxa" w:w="18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End-of-day artifact</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29 Aug</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Review schema docs; repo/bootstrap plan</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Data-source inventory; initial user/job map</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Register; freeze rules; evidence and assumption logs</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Gate 1 pack</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30 Aug</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Parse one representative FHIR bundle; canonical model</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Five fixture storyboards; competitor/UI scan</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Research matrix; category/mode conflict log</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Schema and evidence spike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31 Aug</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Estimate each detector; API fixture draft</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Low-fi queue/detail</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Run internal score/red-team; freeze idea</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Gate 2: product decision</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Synthea pipeline and adapter</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Codebook, normal patterns, visual prototype</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Draft problem/urgency and governance</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1,000 clean linked claims draft</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2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Injection engine for ≥3 modes; bundle validator</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Fixture QA; API-field-to-screen map</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Verify citations and kill criteria</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Gate 3: data feasibility</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3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Phantom/repeat rules + reason catalog</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High-fi queue/detail; React shell</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Proposal skeleton; risk-language QA</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Two working detectors</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4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Clone/unbundling baseline; persistence/audit</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Detail timeline/comparison/action</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Impact measurement plan</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Three seeded cases end-to-end</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5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Engine API, tests, rules-only evaluation</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Frontend with mock/live switch</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Gate review; narrative red-team</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Gate 4: core engine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6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Integration fixes; clean demo reset</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Connect queue/detail/actions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30-second comprehension test; switch decision</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Differentiated vertical slice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7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Anomaly/similarity enhancements</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Ingest/validation states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Deck slides 1–6 draft</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Four modes in review queue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8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Versioning, audit, latency profiling</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Audit/evaluation view</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Slides 7–10; source QA</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Full core workflow</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9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Clean Docker run; integration tests</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Usability fixes; screenshot pass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Gate review; story continuity</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Gate 5: web vertical slice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10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Freeze test split; run baselines</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Review false positives; charts draft</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Draft limitations/pilot plan</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Baseline results</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11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Tune on validation; run frozen test</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Case-study visuals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Slides 11–14; result interpretation</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Evaluation candidate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12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Reproduce run; remove non-value ML</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Final metric visuals</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Gate review; claim ledger</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Gate 6: evaluation evidence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13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Security, error handling, backups</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Accessibility and visual polish</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Privacy/threat model; citations</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Hardened prototype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14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Demo reliability; tag release candidate</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Demo recording draft</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Confirm registration complete; slides 15–16</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RC1 + complete deck draft</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15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Technical figure/fact sign-off</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Visual sign-off</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Freeze proposal content</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Gate 7: content freeze</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16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Final clean-run evidence</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Final screenshots/compression QA</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Build PDF ≤20 slides/≤10 MB</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Submission candidate PDF</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17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Reproduce demo on second machine if possible</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90s/3m rehearsal; fallback video</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Independent rule/citation/file QA</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Gate 8: final QA</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18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Stand by for technical issue only</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Visual/portal preview</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Upload; verify receipt; archive file/hash</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SUBMITTED with buffer</w:t>
            </w:r>
          </w:p>
        </w:tc>
      </w:tr>
      <w:tr>
        <w:trPr>
          <w:cantSplit/>
        </w:trPr>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19 Sep</w:t>
            </w:r>
          </w:p>
        </w:tc>
        <w:tc>
          <w:tcPr>
            <w:tcW w:type="dxa" w:w="20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Emergency recovery only</w:t>
            </w:r>
          </w:p>
        </w:tc>
        <w:tc>
          <w:tcPr>
            <w:tcW w:type="dxa" w:w="195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Emergency recovery only</w:t>
            </w:r>
          </w:p>
        </w:tc>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Verify status; no elective edits</w:t>
            </w:r>
          </w:p>
        </w:tc>
        <w:tc>
          <w:tcPr>
            <w:tcW w:type="dxa" w:w="18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Official deadline</w:t>
            </w:r>
          </w:p>
        </w:tc>
      </w:tr>
    </w:tbl>
    <w:p>
      <w:pPr>
        <w:spacing w:before="0" w:after="60"/>
      </w:pPr>
    </w:p>
    <w:p>
      <w:pPr>
        <w:pStyle w:val="Heading2"/>
      </w:pPr>
      <w:r>
        <w:rPr>
          <w:rFonts w:ascii="Calibri" w:hAnsi="Calibri" w:eastAsia="Calibri"/>
          <w:b/>
        </w:rPr>
        <w:t>Gate definitions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500"/>
        <w:gridCol w:w="1700"/>
        <w:gridCol w:w="1540"/>
        <w:gridCol w:w="1540"/>
        <w:gridCol w:w="1540"/>
        <w:gridCol w:w="1540"/>
      </w:tblGrid>
      <w:tr>
        <w:trPr>
          <w:tblHeader w:val="true"/>
        </w:trPr>
        <w:tc>
          <w:tcPr>
            <w:tcW w:type="dxa" w:w="1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Gate / deadline</w:t>
            </w:r>
          </w:p>
        </w:tc>
        <w:tc>
          <w:tcPr>
            <w:tcW w:type="dxa" w:w="1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Owner</w:t>
            </w:r>
          </w:p>
        </w:tc>
        <w:tc>
          <w:tcPr>
            <w:tcW w:type="dxa" w:w="15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Deliverable</w:t>
            </w:r>
          </w:p>
        </w:tc>
        <w:tc>
          <w:tcPr>
            <w:tcW w:type="dxa" w:w="15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Definition of done</w:t>
            </w:r>
          </w:p>
        </w:tc>
        <w:tc>
          <w:tcPr>
            <w:tcW w:type="dxa" w:w="15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Blocking risk</w:t>
            </w:r>
          </w:p>
        </w:tc>
        <w:tc>
          <w:tcPr>
            <w:tcW w:type="dxa" w:w="15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Fallback</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G1 Constraints understood — 29 Aug</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M3</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Competition brief/checklist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Both PDFs covered; conflicts visible; registration path verified</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Unclear rule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Ask organizer; choose uncontested mode</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G2 Idea selected — 31 Aug</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M2</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Product decision + score/red-team</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One category/solution/user/task; four modes; backup and kill criteria</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Team hedges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M3 enforces decision rule</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G3 Data feasible — 2 Sep</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M1/M2</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Generator, 1k claims, mode-field matrix</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Linked schema; ≥200 labeled injections; three observable modes; no real data</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Missing fields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Narrow modes or trigger backup</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G4 Core engine — 5 Sep</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M1</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API + tests + reasons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Three seeded cases return correct reason/evidence; audit writes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Only opaque score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Remove ML; ship rules first</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G5 Web vertical slice — 9 Sep</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M2</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Working queue→detail→action</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Clean local run; no dead ends; action logged</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Contract mismatch</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Freeze fixtures/API; remove non-core view</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G6 Evaluation evidence — 12 Sep</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M1</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Frozen synthetic report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Baselines, per-mode metrics, FP rate, latency, limitations, reproducible command</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Leakage/weak hybrid</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Fix leakage; publish rules-only if strongest</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G7 Proposal content freeze — 15 Sep</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M3</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Complete 16-slide narrative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All official requirements/criteria mapped; actual artifacts inserted</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Missing evidence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Use honest limitation/pilot slide, not invented result</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G8 Final QA — 17 Sep</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M3</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Submission candidate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PDF opens; ≤20 slides; ≤10 MB; citation/file/spelling checks; demo fallback</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Rendering/upload issue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Re-export compressed PDF; retain clean source</w:t>
            </w:r>
          </w:p>
        </w:tc>
      </w:tr>
    </w:tbl>
    <w:p>
      <w:pPr>
        <w:spacing w:before="0" w:after="60"/>
      </w:pPr>
    </w:p>
    <w:p>
      <w:pPr>
        <w:pStyle w:val="Heading2"/>
      </w:pPr>
      <w:r>
        <w:rPr>
          <w:rFonts w:ascii="Calibri" w:hAnsi="Calibri" w:eastAsia="Calibri"/>
          <w:b/>
        </w:rPr>
        <w:t>After proposal submission</w:t>
      </w:r>
    </w:p>
    <w:p>
      <w:pPr/>
      <w:r>
        <w:rPr>
          <w:rFonts w:ascii="Calibri" w:hAnsi="Calibri" w:eastAsia="Calibri"/>
          <w:b w:val="0"/>
        </w:rPr>
        <w:t>Official dates remain TBC/TBA. Keep a three-week later-stage backlog ready but do not build it before selection:</w:t>
      </w:r>
    </w:p>
    <w:p>
      <w:pPr>
        <w:keepLines/>
        <w:spacing w:after="80" w:line="300" w:lineRule="auto"/>
        <w:numPr>
          <w:ilvl w:val="0"/>
          <w:numId w:val="54"/>
        </w:numPr>
      </w:pPr>
      <w:r>
        <w:rPr>
          <w:rFonts w:ascii="Calibri" w:hAnsi="Calibri" w:eastAsia="Calibri"/>
          <w:b w:val="0"/>
          <w:sz w:val="21"/>
        </w:rPr>
        <w:t>obtain expert/organizer validation;</w:t>
      </w:r>
    </w:p>
    <w:p>
      <w:pPr>
        <w:keepLines/>
        <w:spacing w:after="80" w:line="300" w:lineRule="auto"/>
        <w:numPr>
          <w:ilvl w:val="0"/>
          <w:numId w:val="54"/>
        </w:numPr>
      </w:pPr>
      <w:r>
        <w:rPr>
          <w:rFonts w:ascii="Calibri" w:hAnsi="Calibri" w:eastAsia="Calibri"/>
          <w:b w:val="0"/>
          <w:sz w:val="21"/>
        </w:rPr>
        <w:t>adapt to any authorized dataset or sandbox;</w:t>
      </w:r>
    </w:p>
    <w:p>
      <w:pPr>
        <w:keepLines/>
        <w:spacing w:after="80" w:line="300" w:lineRule="auto"/>
        <w:numPr>
          <w:ilvl w:val="0"/>
          <w:numId w:val="54"/>
        </w:numPr>
      </w:pPr>
      <w:r>
        <w:rPr>
          <w:rFonts w:ascii="Calibri" w:hAnsi="Calibri" w:eastAsia="Calibri"/>
          <w:b w:val="0"/>
          <w:sz w:val="21"/>
        </w:rPr>
        <w:t>test with target users;</w:t>
      </w:r>
    </w:p>
    <w:p>
      <w:pPr>
        <w:keepLines/>
        <w:spacing w:after="80" w:line="300" w:lineRule="auto"/>
        <w:numPr>
          <w:ilvl w:val="0"/>
          <w:numId w:val="54"/>
        </w:numPr>
      </w:pPr>
      <w:r>
        <w:rPr>
          <w:rFonts w:ascii="Calibri" w:hAnsi="Calibri" w:eastAsia="Calibri"/>
          <w:b w:val="0"/>
          <w:sz w:val="21"/>
        </w:rPr>
        <w:t>refine thresholds and fairness analysis;</w:t>
      </w:r>
    </w:p>
    <w:p>
      <w:pPr>
        <w:keepLines/>
        <w:spacing w:after="80" w:line="300" w:lineRule="auto"/>
        <w:numPr>
          <w:ilvl w:val="0"/>
          <w:numId w:val="54"/>
        </w:numPr>
      </w:pPr>
      <w:r>
        <w:rPr>
          <w:rFonts w:ascii="Calibri" w:hAnsi="Calibri" w:eastAsia="Calibri"/>
          <w:b w:val="0"/>
          <w:sz w:val="21"/>
        </w:rPr>
        <w:t>harden authentication, deployment, and observability;</w:t>
      </w:r>
    </w:p>
    <w:p>
      <w:pPr>
        <w:keepLines/>
        <w:spacing w:after="80" w:line="300" w:lineRule="auto"/>
        <w:numPr>
          <w:ilvl w:val="0"/>
          <w:numId w:val="54"/>
        </w:numPr>
      </w:pPr>
      <w:r>
        <w:rPr>
          <w:rFonts w:ascii="Calibri" w:hAnsi="Calibri" w:eastAsia="Calibri"/>
          <w:b w:val="0"/>
          <w:sz w:val="21"/>
        </w:rPr>
        <w:t>rehearse demo and pitch based on coaching feedback.</w:t>
      </w:r>
    </w:p>
    <w:p>
      <w:pPr>
        <w:pStyle w:val="Heading1"/>
        <w:pageBreakBefore/>
      </w:pPr>
      <w:r>
        <w:rPr>
          <w:rFonts w:ascii="Calibri" w:hAnsi="Calibri" w:eastAsia="Calibri"/>
          <w:b/>
        </w:rPr>
        <w:t>19. ChatGPT Work ↔ VS Code / Claude Code Workflow</w:t>
      </w:r>
    </w:p>
    <w:p>
      <w:pPr>
        <w:pStyle w:val="Heading2"/>
      </w:pPr>
      <w:r>
        <w:rPr>
          <w:rFonts w:ascii="Calibri" w:hAnsi="Calibri" w:eastAsia="Calibri"/>
          <w:b/>
        </w:rPr>
        <w:t>Operating principle</w:t>
      </w:r>
    </w:p>
    <w:p>
      <w:pPr/>
      <w:r>
        <w:rPr>
          <w:rFonts w:ascii="Calibri" w:hAnsi="Calibri" w:eastAsia="Calibri"/>
          <w:b w:val="0"/>
        </w:rPr>
        <w:t>ChatGPT Work owns research synthesis, product decisions, evidence discipline, experiment design, architecture reasoning, proposal narrative, and master-plan synchronization. Claude Code works inside the repository to implement one bounded, testable work specification at a time. Real repository results flow back into the plan and proposal; neither tool invents the other side’s evidence.</w:t>
      </w:r>
    </w:p>
    <w:p>
      <w:pPr>
        <w:pStyle w:val="Heading2"/>
      </w:pPr>
      <w:r>
        <w:rPr>
          <w:rFonts w:ascii="Calibri" w:hAnsi="Calibri" w:eastAsia="Calibri"/>
          <w:b/>
        </w:rPr>
        <w:t>Closed loop</w:t>
      </w:r>
    </w:p>
    <w:p>
      <w:pPr>
        <w:keepLines/>
        <w:spacing w:after="80" w:line="300" w:lineRule="auto"/>
        <w:numPr>
          <w:ilvl w:val="0"/>
          <w:numId w:val="55"/>
        </w:numPr>
      </w:pPr>
      <w:r>
        <w:rPr>
          <w:rFonts w:ascii="Calibri" w:hAnsi="Calibri" w:eastAsia="Calibri"/>
          <w:b/>
          <w:sz w:val="21"/>
        </w:rPr>
        <w:t>Research/product decision:</w:t>
      </w:r>
      <w:r>
        <w:rPr>
          <w:rFonts w:ascii="Calibri" w:hAnsi="Calibri" w:eastAsia="Calibri"/>
          <w:b w:val="0"/>
          <w:sz w:val="21"/>
        </w:rPr>
        <w:t xml:space="preserve"> ChatGPT Work records a decision, source, assumption, and success metric.</w:t>
      </w:r>
    </w:p>
    <w:p>
      <w:pPr>
        <w:keepLines/>
        <w:spacing w:after="80" w:line="300" w:lineRule="auto"/>
        <w:numPr>
          <w:ilvl w:val="0"/>
          <w:numId w:val="55"/>
        </w:numPr>
      </w:pPr>
      <w:r>
        <w:rPr>
          <w:rFonts w:ascii="Calibri" w:hAnsi="Calibri" w:eastAsia="Calibri"/>
          <w:b/>
          <w:sz w:val="21"/>
        </w:rPr>
        <w:t>Work specification:</w:t>
      </w:r>
      <w:r>
        <w:rPr>
          <w:rFonts w:ascii="Calibri" w:hAnsi="Calibri" w:eastAsia="Calibri"/>
          <w:b w:val="0"/>
          <w:sz w:val="21"/>
        </w:rPr>
        <w:t xml:space="preserve"> create a small </w:t>
      </w:r>
      <w:r>
        <w:rPr>
          <w:rFonts w:ascii="Consolas" w:hAnsi="Consolas" w:eastAsia="Consolas"/>
          <w:color w:val="1F4D78"/>
          <w:sz w:val="20"/>
        </w:rPr>
        <w:t>workspecs/WS-###-name.md</w:t>
      </w:r>
      <w:r>
        <w:rPr>
          <w:rFonts w:ascii="Calibri" w:hAnsi="Calibri" w:eastAsia="Calibri"/>
          <w:b w:val="0"/>
          <w:sz w:val="21"/>
        </w:rPr>
        <w:t xml:space="preserve"> with contracts and acceptance criteria.</w:t>
      </w:r>
    </w:p>
    <w:p>
      <w:pPr>
        <w:keepLines/>
        <w:spacing w:after="80" w:line="300" w:lineRule="auto"/>
        <w:numPr>
          <w:ilvl w:val="0"/>
          <w:numId w:val="55"/>
        </w:numPr>
      </w:pPr>
      <w:r>
        <w:rPr>
          <w:rFonts w:ascii="Calibri" w:hAnsi="Calibri" w:eastAsia="Calibri"/>
          <w:b/>
          <w:sz w:val="21"/>
        </w:rPr>
        <w:t>Implementation:</w:t>
      </w:r>
      <w:r>
        <w:rPr>
          <w:rFonts w:ascii="Calibri" w:hAnsi="Calibri" w:eastAsia="Calibri"/>
          <w:b w:val="0"/>
          <w:sz w:val="21"/>
        </w:rPr>
        <w:t xml:space="preserve"> Claude Code reads the spec and relevant canonical docs, modifies the repository, and runs tests.</w:t>
      </w:r>
    </w:p>
    <w:p>
      <w:pPr>
        <w:keepLines/>
        <w:spacing w:after="80" w:line="300" w:lineRule="auto"/>
        <w:numPr>
          <w:ilvl w:val="0"/>
          <w:numId w:val="55"/>
        </w:numPr>
      </w:pPr>
      <w:r>
        <w:rPr>
          <w:rFonts w:ascii="Calibri" w:hAnsi="Calibri" w:eastAsia="Calibri"/>
          <w:b/>
          <w:sz w:val="21"/>
        </w:rPr>
        <w:t>Result package:</w:t>
      </w:r>
      <w:r>
        <w:rPr>
          <w:rFonts w:ascii="Calibri" w:hAnsi="Calibri" w:eastAsia="Calibri"/>
          <w:b w:val="0"/>
          <w:sz w:val="21"/>
        </w:rPr>
        <w:t xml:space="preserve"> commit hash, commands, test output, metrics/artifacts, deviations, and open risks.</w:t>
      </w:r>
    </w:p>
    <w:p>
      <w:pPr>
        <w:keepLines/>
        <w:spacing w:after="80" w:line="300" w:lineRule="auto"/>
        <w:numPr>
          <w:ilvl w:val="0"/>
          <w:numId w:val="55"/>
        </w:numPr>
      </w:pPr>
      <w:r>
        <w:rPr>
          <w:rFonts w:ascii="Calibri" w:hAnsi="Calibri" w:eastAsia="Calibri"/>
          <w:b/>
          <w:sz w:val="21"/>
        </w:rPr>
        <w:t>Evidence review:</w:t>
      </w:r>
      <w:r>
        <w:rPr>
          <w:rFonts w:ascii="Calibri" w:hAnsi="Calibri" w:eastAsia="Calibri"/>
          <w:b w:val="0"/>
          <w:sz w:val="21"/>
        </w:rPr>
        <w:t xml:space="preserve"> the team verifies the result locally; Member 3 checks whether proposal claims are supported.</w:t>
      </w:r>
    </w:p>
    <w:p>
      <w:pPr>
        <w:keepLines/>
        <w:spacing w:after="80" w:line="300" w:lineRule="auto"/>
        <w:numPr>
          <w:ilvl w:val="0"/>
          <w:numId w:val="55"/>
        </w:numPr>
      </w:pPr>
      <w:r>
        <w:rPr>
          <w:rFonts w:ascii="Calibri" w:hAnsi="Calibri" w:eastAsia="Calibri"/>
          <w:b/>
          <w:sz w:val="21"/>
        </w:rPr>
        <w:t>Plan update:</w:t>
      </w:r>
      <w:r>
        <w:rPr>
          <w:rFonts w:ascii="Calibri" w:hAnsi="Calibri" w:eastAsia="Calibri"/>
          <w:b w:val="0"/>
          <w:sz w:val="21"/>
        </w:rPr>
        <w:t xml:space="preserve"> ChatGPT Work updates the decision/evidence/experiment logs and adjusts backlog or narrative.</w:t>
      </w:r>
    </w:p>
    <w:p>
      <w:pPr/>
      <w:r>
        <w:rPr>
          <w:rFonts w:ascii="Calibri" w:hAnsi="Calibri" w:eastAsia="Calibri"/>
          <w:b w:val="0"/>
        </w:rPr>
        <w:t>No generated claim enters the proposal until the corresponding artifact exists.</w:t>
      </w:r>
    </w:p>
    <w:p>
      <w:pPr>
        <w:pStyle w:val="Heading2"/>
      </w:pPr>
      <w:r>
        <w:rPr>
          <w:rFonts w:ascii="Calibri" w:hAnsi="Calibri" w:eastAsia="Calibri"/>
          <w:b/>
        </w:rPr>
        <w:t>Repository documentation structure</w:t>
      </w:r>
    </w:p>
    <w:p>
      <w:pPr>
        <w:pStyle w:val="CodeBlock"/>
        <w:shd w:fill="F4F6F9"/>
        <w:pBdr>
          <w:left w:val="single" w:sz="14" w:space="5" w:color="9EB6CE"/>
        </w:pBdr>
      </w:pPr>
      <w:r>
        <w:t>docs/</w:t>
        <w:br/>
        <w:t xml:space="preserve">  00_competition_brief.md        # official rules and conflicts</w:t>
        <w:br/>
        <w:t xml:space="preserve">  01_product_decision.md         # selected problem, user, scope, kill criteria</w:t>
        <w:br/>
        <w:t xml:space="preserve">  02_domain_assumptions.md       # assumptions and validation questions</w:t>
        <w:br/>
        <w:t xml:space="preserve">  03_architecture.md             # components, contracts, ADR links</w:t>
        <w:br/>
        <w:t xml:space="preserve">  04_data_card.md                # sources, schema, generator, split, limitations</w:t>
        <w:br/>
        <w:t xml:space="preserve">  05_model_card.md               # detectors, intended/prohibited use, thresholds</w:t>
        <w:br/>
        <w:t xml:space="preserve">  06_evaluation_plan.md          # baselines, metrics, protocol</w:t>
        <w:br/>
        <w:t xml:space="preserve">  07_privacy_threat_model.md     # data flow, risks, controls</w:t>
        <w:br/>
        <w:t xml:space="preserve">  08_demo_runbook.md             # seeded cases, scripts, fallback</w:t>
        <w:br/>
        <w:t xml:space="preserve">  09_proposal_evidence_map.md    # every claim/slide to source or artifact</w:t>
        <w:br/>
        <w:t>decisions/</w:t>
        <w:br/>
        <w:t xml:space="preserve">  ADR-0001-canonical-model.md</w:t>
        <w:br/>
        <w:t xml:space="preserve">  ADR-0002-no-llm-in-risk-score.md</w:t>
        <w:br/>
        <w:t>experiments/</w:t>
        <w:br/>
        <w:t xml:space="preserve">  EXP-0001-rules-baseline.md</w:t>
        <w:br/>
        <w:t xml:space="preserve">  EXP-0002-clone-similarity.md</w:t>
        <w:br/>
        <w:t>workspecs/</w:t>
        <w:br/>
        <w:t xml:space="preserve">  WS-001-synthetic-generator.md</w:t>
        <w:br/>
        <w:t xml:space="preserve">  WS-002-ingestion-validation.md</w:t>
        <w:br/>
        <w:t xml:space="preserve">  WS-003-evidence-rules.md</w:t>
        <w:br/>
        <w:t xml:space="preserve">  WS-004-ranking-models.md</w:t>
        <w:br/>
        <w:t xml:space="preserve">  WS-005-review-ui-audit.md</w:t>
        <w:br/>
        <w:t xml:space="preserve">  WS-006-evaluation-report.md</w:t>
        <w:br/>
        <w:t>artifacts/</w:t>
        <w:br/>
        <w:t xml:space="preserve">  evaluations/&lt;run_id&gt;/</w:t>
        <w:br/>
        <w:t xml:space="preserve">  screenshots/</w:t>
        <w:br/>
        <w:t xml:space="preserve">  demo/</w:t>
      </w:r>
    </w:p>
    <w:p>
      <w:pPr>
        <w:pStyle w:val="Heading2"/>
      </w:pPr>
      <w:r>
        <w:rPr>
          <w:rFonts w:ascii="Calibri" w:hAnsi="Calibri" w:eastAsia="Calibri"/>
          <w:b/>
        </w:rPr>
        <w:t>Avoiding duplication</w:t>
      </w:r>
    </w:p>
    <w:p>
      <w:pPr>
        <w:keepLines/>
        <w:spacing w:after="80" w:line="300" w:lineRule="auto"/>
        <w:numPr>
          <w:ilvl w:val="0"/>
          <w:numId w:val="56"/>
        </w:numPr>
      </w:pPr>
      <w:r>
        <w:rPr>
          <w:rFonts w:ascii="Calibri" w:hAnsi="Calibri" w:eastAsia="Calibri"/>
          <w:b w:val="0"/>
          <w:sz w:val="21"/>
        </w:rPr>
        <w:t xml:space="preserve">Official rules live only in </w:t>
      </w:r>
      <w:r>
        <w:rPr>
          <w:rFonts w:ascii="Consolas" w:hAnsi="Consolas" w:eastAsia="Consolas"/>
          <w:color w:val="1F4D78"/>
          <w:sz w:val="20"/>
        </w:rPr>
        <w:t>00_competition_brief.md</w:t>
      </w:r>
      <w:r>
        <w:rPr>
          <w:rFonts w:ascii="Calibri" w:hAnsi="Calibri" w:eastAsia="Calibri"/>
          <w:b w:val="0"/>
          <w:sz w:val="21"/>
        </w:rPr>
        <w:t>; other docs link to it.</w:t>
      </w:r>
    </w:p>
    <w:p>
      <w:pPr>
        <w:keepLines/>
        <w:spacing w:after="80" w:line="300" w:lineRule="auto"/>
        <w:numPr>
          <w:ilvl w:val="0"/>
          <w:numId w:val="56"/>
        </w:numPr>
      </w:pPr>
      <w:r>
        <w:rPr>
          <w:rFonts w:ascii="Calibri" w:hAnsi="Calibri" w:eastAsia="Calibri"/>
          <w:b w:val="0"/>
          <w:sz w:val="21"/>
        </w:rPr>
        <w:t xml:space="preserve">Product scope lives only in </w:t>
      </w:r>
      <w:r>
        <w:rPr>
          <w:rFonts w:ascii="Consolas" w:hAnsi="Consolas" w:eastAsia="Consolas"/>
          <w:color w:val="1F4D78"/>
          <w:sz w:val="20"/>
        </w:rPr>
        <w:t>01_product_decision.md</w:t>
      </w:r>
      <w:r>
        <w:rPr>
          <w:rFonts w:ascii="Calibri" w:hAnsi="Calibri" w:eastAsia="Calibri"/>
          <w:b w:val="0"/>
          <w:sz w:val="21"/>
        </w:rPr>
        <w:t>.</w:t>
      </w:r>
    </w:p>
    <w:p>
      <w:pPr>
        <w:keepLines/>
        <w:spacing w:after="80" w:line="300" w:lineRule="auto"/>
        <w:numPr>
          <w:ilvl w:val="0"/>
          <w:numId w:val="56"/>
        </w:numPr>
      </w:pPr>
      <w:r>
        <w:rPr>
          <w:rFonts w:ascii="Calibri" w:hAnsi="Calibri" w:eastAsia="Calibri"/>
          <w:b w:val="0"/>
          <w:sz w:val="21"/>
        </w:rPr>
        <w:t>Fields/generation/splits live only in the data card.</w:t>
      </w:r>
    </w:p>
    <w:p>
      <w:pPr>
        <w:keepLines/>
        <w:spacing w:after="80" w:line="300" w:lineRule="auto"/>
        <w:numPr>
          <w:ilvl w:val="0"/>
          <w:numId w:val="56"/>
        </w:numPr>
      </w:pPr>
      <w:r>
        <w:rPr>
          <w:rFonts w:ascii="Calibri" w:hAnsi="Calibri" w:eastAsia="Calibri"/>
          <w:b w:val="0"/>
          <w:sz w:val="21"/>
        </w:rPr>
        <w:t>Intended use/thresholds/limitations live in the model card.</w:t>
      </w:r>
    </w:p>
    <w:p>
      <w:pPr>
        <w:keepLines/>
        <w:spacing w:after="80" w:line="300" w:lineRule="auto"/>
        <w:numPr>
          <w:ilvl w:val="0"/>
          <w:numId w:val="56"/>
        </w:numPr>
      </w:pPr>
      <w:r>
        <w:rPr>
          <w:rFonts w:ascii="Calibri" w:hAnsi="Calibri" w:eastAsia="Calibri"/>
          <w:b w:val="0"/>
          <w:sz w:val="21"/>
        </w:rPr>
        <w:t>Results live in immutable experiment folders; the proposal map references them.</w:t>
      </w:r>
    </w:p>
    <w:p>
      <w:pPr>
        <w:keepLines/>
        <w:spacing w:after="80" w:line="300" w:lineRule="auto"/>
        <w:numPr>
          <w:ilvl w:val="0"/>
          <w:numId w:val="56"/>
        </w:numPr>
      </w:pPr>
      <w:r>
        <w:rPr>
          <w:rFonts w:ascii="Calibri" w:hAnsi="Calibri" w:eastAsia="Calibri"/>
          <w:b w:val="0"/>
          <w:sz w:val="21"/>
        </w:rPr>
        <w:t>ADRs capture decisions and consequences, not task status.</w:t>
      </w:r>
    </w:p>
    <w:p>
      <w:pPr>
        <w:keepLines/>
        <w:spacing w:after="80" w:line="300" w:lineRule="auto"/>
        <w:numPr>
          <w:ilvl w:val="0"/>
          <w:numId w:val="56"/>
        </w:numPr>
      </w:pPr>
      <w:r>
        <w:rPr>
          <w:rFonts w:ascii="Calibri" w:hAnsi="Calibri" w:eastAsia="Calibri"/>
          <w:b w:val="0"/>
          <w:sz w:val="21"/>
        </w:rPr>
        <w:t>Work specs close after implementation; they do not become permanent architecture docs.</w:t>
      </w:r>
    </w:p>
    <w:p>
      <w:pPr>
        <w:pStyle w:val="Heading2"/>
      </w:pPr>
      <w:r>
        <w:rPr>
          <w:rFonts w:ascii="Calibri" w:hAnsi="Calibri" w:eastAsia="Calibri"/>
          <w:b/>
        </w:rPr>
        <w:t>Work-spec template</w:t>
      </w:r>
    </w:p>
    <w:p>
      <w:pPr/>
      <w:r>
        <w:rPr>
          <w:rFonts w:ascii="Calibri" w:hAnsi="Calibri" w:eastAsia="Calibri"/>
          <w:b w:val="0"/>
        </w:rPr>
        <w:t>Every engineering feature must include:</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Field</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Required content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Objective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One measurable outcome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User story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Actor, action, value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Technical scope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Included modules and deliberate exclusions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Schema/version/examples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Outputs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API/artifact contract and errors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Acceptance criteria</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Observable pass/fail statements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Tests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Unit, property, integration, end-to-end as relevant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Edge cases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Missing, duplicate, contradictory, oversized, concurrent, version mismatch</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Evidence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File/log/chart produced</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Definition of done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Code, tests, docs, reproducible command, review</w:t>
            </w:r>
          </w:p>
        </w:tc>
      </w:tr>
    </w:tbl>
    <w:p>
      <w:pPr>
        <w:spacing w:before="0" w:after="60"/>
      </w:pPr>
    </w:p>
    <w:p>
      <w:pPr>
        <w:pStyle w:val="Heading2"/>
      </w:pPr>
      <w:r>
        <w:rPr>
          <w:rFonts w:ascii="Calibri" w:hAnsi="Calibri" w:eastAsia="Calibri"/>
          <w:b/>
        </w:rPr>
        <w:t>Result handback format from Claude Code</w:t>
      </w:r>
    </w:p>
    <w:p>
      <w:pPr>
        <w:pStyle w:val="CodeBlock"/>
        <w:shd w:fill="F4F6F9"/>
        <w:pBdr>
          <w:left w:val="single" w:sz="14" w:space="5" w:color="9EB6CE"/>
        </w:pBdr>
      </w:pPr>
      <w:r>
        <w:t>Spec: WS-###</w:t>
        <w:br/>
        <w:t>Commit: &lt;hash&gt;</w:t>
        <w:br/>
        <w:t>Implemented: &lt;concise list&gt;</w:t>
        <w:br/>
        <w:t>Commands run: &lt;exact commands&gt;</w:t>
        <w:br/>
        <w:t>Tests: &lt;passed/failed counts&gt;</w:t>
        <w:br/>
        <w:t>Artifacts: &lt;paths and hashes&gt;</w:t>
        <w:br/>
        <w:t>Acceptance criteria: &lt;each pass/fail&gt;</w:t>
        <w:br/>
        <w:t>Deviations: &lt;what changed and why&gt;</w:t>
        <w:br/>
        <w:t>Open risks: &lt;bounded list&gt;</w:t>
      </w:r>
    </w:p>
    <w:p>
      <w:pPr>
        <w:pStyle w:val="Heading1"/>
        <w:pageBreakBefore/>
      </w:pPr>
      <w:r>
        <w:rPr>
          <w:rFonts w:ascii="Calibri" w:hAnsi="Calibri" w:eastAsia="Calibri"/>
          <w:b/>
        </w:rPr>
        <w:t>20. Engineering Handoff</w:t>
      </w:r>
    </w:p>
    <w:p>
      <w:pPr>
        <w:pStyle w:val="Heading2"/>
      </w:pPr>
      <w:r>
        <w:rPr>
          <w:rFonts w:ascii="Calibri" w:hAnsi="Calibri" w:eastAsia="Calibri"/>
          <w:b/>
        </w:rPr>
        <w:t>Implementation-ready feature specifications</w:t>
      </w:r>
    </w:p>
    <w:p>
      <w:pPr>
        <w:pStyle w:val="Heading3"/>
      </w:pPr>
      <w:r>
        <w:rPr>
          <w:rFonts w:ascii="Calibri" w:hAnsi="Calibri" w:eastAsia="Calibri"/>
          <w:b/>
        </w:rPr>
        <w:t>WS-001 — Synthetic data generator</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Field</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Specification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Objective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Produce reproducible clean and injected SATUSEHAT-shaped claim/RME fixtures without real JKN data</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User story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As a model engineer, I can generate versioned data so detection results can be reproduced and audited</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Scope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Synthea import, canonical adapter, synthetic billing, four injectors, manifest, split; no claim of Indonesian representativeness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Synthea FHIR directory, YAML config, random seed, target counts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Outputs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NDJSON/JSON bundles; canonical parquet/CSV; injection and split manifests; data summary</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Acceptance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Same seed produces identical hashes; ≥1,000 claims/200 injections at Gate 3; all references resolve; injector-only fields absent from features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Tests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Determinism; referential integrity; totals; chronology; per-injector invariant; license/data-card check</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Edge cases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Multi-label injections, partial/missing resources, duplicate IDs, empty note, rounding</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Done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Clean command generates data, tests pass, data card updated, sample fixtures committed</w:t>
            </w:r>
          </w:p>
        </w:tc>
      </w:tr>
    </w:tbl>
    <w:p>
      <w:pPr>
        <w:spacing w:before="0" w:after="60"/>
      </w:pPr>
    </w:p>
    <w:p>
      <w:pPr>
        <w:pStyle w:val="Heading3"/>
      </w:pPr>
      <w:r>
        <w:rPr>
          <w:rFonts w:ascii="Calibri" w:hAnsi="Calibri" w:eastAsia="Calibri"/>
          <w:b/>
        </w:rPr>
        <w:t>WS-002 — Ingestion and validation</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Field</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Specification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Objective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Accept one documented JSON bundle subset and return actionable validation, canonical resources, and input hash</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User story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As a casemix officer, I can submit a bundle and know whether it can be screened</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Scope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FastAPI endpoint, size/type limits, Pydantic/FHIR subset, reference validation, storage; no live SATUSEHAT API</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Synthetic JSON bundle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Outputs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Ingestion ID, validation status/errors, counts, SHA-256 hash</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Acceptance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Seeded valid bundle passes; malformed/oversized/unresolved references return stable error codes; resubmission is idempotent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Tests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Unit schema, property malformed JSON, integration DB, security limits, log redaction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Edge cases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Unknown resource, circular refs, timezone, duplicate version, partial bundle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Done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OpenAPI example, migrations, tests, fixture, docs</w:t>
            </w:r>
          </w:p>
        </w:tc>
      </w:tr>
    </w:tbl>
    <w:p>
      <w:pPr>
        <w:spacing w:before="0" w:after="60"/>
      </w:pPr>
    </w:p>
    <w:p>
      <w:pPr>
        <w:pStyle w:val="Heading3"/>
      </w:pPr>
      <w:r>
        <w:rPr>
          <w:rFonts w:ascii="Calibri" w:hAnsi="Calibri" w:eastAsia="Calibri"/>
          <w:b/>
        </w:rPr>
        <w:t>WS-003 — Evidence graph and rule engine</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Field</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Specification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Objective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Return versioned reasons and resolvable evidence for phantom, repeat, and unbundling; clone baseline if ready</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User story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As a reviewer, I can see why a claim was prioritized and trace it to source resources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Scope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Canonical edges, rule interface, reason catalog, evidence/counter-evidence; no medical-necessity rule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Valid canonical bundle and historical synthetic claims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Outputs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Case, reasons, priority band, evidence refs, rule version, latency</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Acceptance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Gold fixtures return expected reason; every ref resolves; clean fixture has no injected reason; same hash/version is deterministic</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Tests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Unit per predicate, counterexample, integration history lookup, snapshot response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Edge cases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Incomplete bundle, entered-in-error status, overlapping legitimate follow-up, rounding, multiple candidates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Done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Three modes pass gold tests, reason catalog documented, API integrated</w:t>
            </w:r>
          </w:p>
        </w:tc>
      </w:tr>
    </w:tbl>
    <w:p>
      <w:pPr>
        <w:spacing w:before="0" w:after="60"/>
      </w:pPr>
    </w:p>
    <w:p>
      <w:pPr>
        <w:pStyle w:val="Heading3"/>
      </w:pPr>
      <w:r>
        <w:rPr>
          <w:rFonts w:ascii="Calibri" w:hAnsi="Calibri" w:eastAsia="Calibri"/>
          <w:b/>
        </w:rPr>
        <w:t>WS-004 — Similarity, anomaly, and ranking</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Field</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Specification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Objective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Improve prioritization over rules-only without hiding reasons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User story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As a reviewer, I receive the most informative cases first within a fixed review budget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Scope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TF-IDF/MinHash baseline, optional embeddings, anomaly baseline, calibration, component scores; no LLM/GNN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Train/validation feature sets and rule reasons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Outputs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Saved model/thresholds, reason-level scores, evaluation-ready predictions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Acceptance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Reproducible; no injection fields; produces incremental precision@K/recall@K or is removed; text-only signal cannot produce highest band</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Tests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Group split enforcement, serialization, feature schema, leakage probe, threshold boundaries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Edge cases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Empty/very short notes, common templates, unseen provider, missing feature, distribution shift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Done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Model card, experiment record, tests, measured comparison</w:t>
            </w:r>
          </w:p>
        </w:tc>
      </w:tr>
    </w:tbl>
    <w:p>
      <w:pPr>
        <w:spacing w:before="0" w:after="60"/>
      </w:pPr>
    </w:p>
    <w:p>
      <w:pPr>
        <w:pStyle w:val="Heading3"/>
      </w:pPr>
      <w:r>
        <w:rPr>
          <w:rFonts w:ascii="Calibri" w:hAnsi="Calibri" w:eastAsia="Calibri"/>
          <w:b/>
        </w:rPr>
        <w:t>WS-005 — Review UI, disposition, and audit</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Field</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Specification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Objective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Complete queue→evidence→human action→audit without dead ends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User story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As a reviewer, I can understand the strongest signal and record a defensible action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Scope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React queue/detail/ingest/audit, reason/timeline/comparison, four actions, optimistic locking; no inactive menus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OpenAPI and stable fixtures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Outputs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Responsive web screens and disposition/audit API calls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Acceptance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Ideal case completes in &lt;90 seconds internally; reason before score; action requires reason; conflict/version errors handled; synthetic badge always visible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Tests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Component, accessibility smoke, Playwright happy/false-positive/error paths, visual review</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Edge cases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No cases, loading, API failure, stale case, long text, multiple reasons, no counter-evidence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Done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Clean local run, automated tests, screenshots, demo fixture</w:t>
            </w:r>
          </w:p>
        </w:tc>
      </w:tr>
    </w:tbl>
    <w:p>
      <w:pPr>
        <w:spacing w:before="0" w:after="60"/>
      </w:pPr>
    </w:p>
    <w:p>
      <w:pPr>
        <w:pStyle w:val="Heading3"/>
      </w:pPr>
      <w:r>
        <w:rPr>
          <w:rFonts w:ascii="Calibri" w:hAnsi="Calibri" w:eastAsia="Calibri"/>
          <w:b/>
        </w:rPr>
        <w:t>WS-006 — Evaluation and evidence report</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Field</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Specification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Objective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Produce proposal-ready, reproducible baseline-versus-hybrid evidence with limitations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User story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As the proposal lead, I can cite generated metrics without manual transcription or overclaim</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Scope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Frozen split, B0/B1/B2/hybrid, metrics, CIs if feasible, charts, cases, manifest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Inputs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Frozen data/model predictions and runtime logs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Outputs</w:t>
            </w:r>
          </w:p>
        </w:tc>
        <w:tc>
          <w:tcPr>
            <w:tcW w:type="dxa" w:w="6660"/>
            <w:tcMar>
              <w:top w:w="80" w:type="dxa"/>
              <w:start w:w="120" w:type="dxa"/>
              <w:bottom w:w="80" w:type="dxa"/>
              <w:end w:w="120" w:type="dxa"/>
            </w:tcMar>
            <w:vAlign w:val="top"/>
          </w:tcPr>
          <w:p>
            <w:pPr>
              <w:spacing w:before="0" w:after="0" w:line="259" w:lineRule="auto"/>
            </w:pPr>
            <w:r>
              <w:rPr>
                <w:rFonts w:ascii="Consolas" w:hAnsi="Consolas" w:eastAsia="Consolas"/>
                <w:color w:val="1F4D78"/>
                <w:sz w:val="17"/>
              </w:rPr>
              <w:t>metrics.json</w:t>
            </w:r>
            <w:r>
              <w:rPr>
                <w:rFonts w:ascii="Calibri" w:hAnsi="Calibri" w:eastAsia="Calibri"/>
                <w:b w:val="0"/>
                <w:color w:val="0B2545"/>
                <w:sz w:val="18"/>
              </w:rPr>
              <w:t>, tables CSV, charts PNG/SVG, case reports, run manifest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Acceptance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One command rebuilds artifacts; labels say synthetic; per-mode and FP/100 reported; test set untouched during tuning; chart values match JSON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Tests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Metric unit tests, artifact schema, hash/re-run comparison, no demo fixtures in evaluation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Edge cases</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No positive prediction, multi-label case, threshold ties, missing class, timeout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Done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Experiment record signed by M1; claim interpretation signed by M3; visuals signed by M2</w:t>
            </w:r>
          </w:p>
        </w:tc>
      </w:tr>
    </w:tbl>
    <w:p>
      <w:pPr>
        <w:spacing w:before="0" w:after="60"/>
      </w:pPr>
    </w:p>
    <w:p>
      <w:pPr>
        <w:pStyle w:val="Heading2"/>
      </w:pPr>
      <w:r>
        <w:rPr>
          <w:rFonts w:ascii="Calibri" w:hAnsi="Calibri" w:eastAsia="Calibri"/>
          <w:b/>
        </w:rPr>
        <w:t>CLAUDE CODE KICKOFF PACKAGE</w:t>
      </w:r>
    </w:p>
    <w:p>
      <w:pPr>
        <w:pStyle w:val="Heading3"/>
      </w:pPr>
      <w:r>
        <w:rPr>
          <w:rFonts w:ascii="Calibri" w:hAnsi="Calibri" w:eastAsia="Calibri"/>
          <w:b/>
        </w:rPr>
        <w:t>1. Project context</w:t>
      </w:r>
    </w:p>
    <w:p>
      <w:pPr/>
      <w:r>
        <w:rPr>
          <w:rFonts w:ascii="Calibri" w:hAnsi="Calibri" w:eastAsia="Calibri"/>
          <w:b w:val="0"/>
        </w:rPr>
        <w:t>Healthkathon 2026 challenges teams to improve JKN healthcare-service risk efficiency. This repository will build a synthetic-data functional prototype and the reproducible evidence needed for a proposal due 19 September 2026.</w:t>
      </w:r>
    </w:p>
    <w:p>
      <w:pPr>
        <w:pStyle w:val="Heading3"/>
      </w:pPr>
      <w:r>
        <w:rPr>
          <w:rFonts w:ascii="Calibri" w:hAnsi="Calibri" w:eastAsia="Calibri"/>
          <w:b/>
        </w:rPr>
        <w:t>2. Selected solution</w:t>
      </w:r>
    </w:p>
    <w:p>
      <w:pPr/>
      <w:r>
        <w:rPr>
          <w:rFonts w:ascii="Calibri" w:hAnsi="Calibri" w:eastAsia="Calibri"/>
          <w:b w:val="0"/>
        </w:rPr>
        <w:t>TilikKlaim screens a SATUSEHAT-shaped claim/RME bundle for four facility-risk patterns, shows claim-to-clinical evidence, and records a human disposition. It never decides fraud or payment.</w:t>
      </w:r>
    </w:p>
    <w:p>
      <w:pPr>
        <w:pStyle w:val="Heading3"/>
      </w:pPr>
      <w:r>
        <w:rPr>
          <w:rFonts w:ascii="Calibri" w:hAnsi="Calibri" w:eastAsia="Calibri"/>
          <w:b/>
        </w:rPr>
        <w:t>3. Architecture</w:t>
      </w:r>
    </w:p>
    <w:p>
      <w:pPr/>
      <w:r>
        <w:rPr>
          <w:rFonts w:ascii="Calibri" w:hAnsi="Calibri" w:eastAsia="Calibri"/>
          <w:b w:val="0"/>
        </w:rPr>
        <w:t>Synthetic FHIR/Claim generator → FastAPI ingestion/validation → canonical relational/evidence graph → versioned rules and optional similarity/anomaly ranking → React review workflow → append-only audit → offline evaluation artifacts.</w:t>
      </w:r>
    </w:p>
    <w:p>
      <w:pPr>
        <w:pStyle w:val="Heading3"/>
      </w:pPr>
      <w:r>
        <w:rPr>
          <w:rFonts w:ascii="Calibri" w:hAnsi="Calibri" w:eastAsia="Calibri"/>
          <w:b/>
        </w:rPr>
        <w:t>4. Agreed stack</w:t>
      </w:r>
    </w:p>
    <w:p>
      <w:pPr/>
      <w:r>
        <w:rPr>
          <w:rFonts w:ascii="Calibri" w:hAnsi="Calibri" w:eastAsia="Calibri"/>
          <w:b w:val="0"/>
        </w:rPr>
        <w:t>Python 3.11+, FastAPI, Pydantic, PostgreSQL/JSONB, Pandas or Polars, scikit-learn, NetworkX for derived graphs, React/TypeScript, a restrained component system, Docker Compose, pytest, and Playwright. Prefer the simplest maintained dependency that passes the spike.</w:t>
      </w:r>
    </w:p>
    <w:p>
      <w:pPr>
        <w:pStyle w:val="Heading3"/>
      </w:pPr>
      <w:r>
        <w:rPr>
          <w:rFonts w:ascii="Calibri" w:hAnsi="Calibri" w:eastAsia="Calibri"/>
          <w:b/>
        </w:rPr>
        <w:t>5. MVP scope</w:t>
      </w:r>
    </w:p>
    <w:p>
      <w:pPr/>
      <w:r>
        <w:rPr>
          <w:rFonts w:ascii="Calibri" w:hAnsi="Calibri" w:eastAsia="Calibri"/>
          <w:b w:val="0"/>
        </w:rPr>
        <w:t>Ingest seeded synthetic bundle; detect at least three modes by Gate 4 and four by Gate 6; show reasons/evidence; human disposition; audit; reproducible rules-only vs hybrid evaluation.</w:t>
      </w:r>
    </w:p>
    <w:p>
      <w:pPr>
        <w:pStyle w:val="Heading3"/>
      </w:pPr>
      <w:r>
        <w:rPr>
          <w:rFonts w:ascii="Calibri" w:hAnsi="Calibri" w:eastAsia="Calibri"/>
          <w:b/>
        </w:rPr>
        <w:t>6. Repository recommendation</w:t>
      </w:r>
    </w:p>
    <w:p>
      <w:pPr>
        <w:pStyle w:val="CodeBlock"/>
        <w:shd w:fill="F4F6F9"/>
        <w:pBdr>
          <w:left w:val="single" w:sz="14" w:space="5" w:color="9EB6CE"/>
        </w:pBdr>
      </w:pPr>
      <w:r>
        <w:t>apps/api/        FastAPI routes and services</w:t>
        <w:br/>
        <w:t>apps/web/        React/TypeScript client</w:t>
        <w:br/>
        <w:t>packages/domain/ canonical schemas, reason codes, rule interfaces</w:t>
        <w:br/>
        <w:t>packages/data/   generator, adapter, injectors</w:t>
        <w:br/>
        <w:t>packages/model/  features, similarity, anomaly, calibration</w:t>
        <w:br/>
        <w:t>evaluation/      reproducible runner and artifact builders</w:t>
        <w:br/>
        <w:t>tests/           unit, integration, contract, e2e fixtures</w:t>
        <w:br/>
        <w:t>docs/ decisions/ experiments/ workspecs/ artifacts/</w:t>
      </w:r>
    </w:p>
    <w:p>
      <w:pPr>
        <w:pStyle w:val="Heading3"/>
      </w:pPr>
      <w:r>
        <w:rPr>
          <w:rFonts w:ascii="Calibri" w:hAnsi="Calibri" w:eastAsia="Calibri"/>
          <w:b/>
        </w:rPr>
        <w:t>7. Initial backlog</w:t>
      </w:r>
    </w:p>
    <w:p>
      <w:pPr>
        <w:keepLines/>
        <w:spacing w:after="80" w:line="300" w:lineRule="auto"/>
        <w:numPr>
          <w:ilvl w:val="0"/>
          <w:numId w:val="57"/>
        </w:numPr>
      </w:pPr>
      <w:r>
        <w:rPr>
          <w:rFonts w:ascii="Calibri" w:hAnsi="Calibri" w:eastAsia="Calibri"/>
          <w:b w:val="0"/>
          <w:sz w:val="21"/>
        </w:rPr>
        <w:t>Repository/tooling, CI, Docker Compose, canonical docs.</w:t>
      </w:r>
    </w:p>
    <w:p>
      <w:pPr>
        <w:keepLines/>
        <w:spacing w:after="80" w:line="300" w:lineRule="auto"/>
        <w:numPr>
          <w:ilvl w:val="0"/>
          <w:numId w:val="57"/>
        </w:numPr>
      </w:pPr>
      <w:r>
        <w:rPr>
          <w:rFonts w:ascii="Calibri" w:hAnsi="Calibri" w:eastAsia="Calibri"/>
          <w:b w:val="0"/>
          <w:sz w:val="21"/>
        </w:rPr>
        <w:t>WS-001 generator and gold fixtures.</w:t>
      </w:r>
    </w:p>
    <w:p>
      <w:pPr>
        <w:keepLines/>
        <w:spacing w:after="80" w:line="300" w:lineRule="auto"/>
        <w:numPr>
          <w:ilvl w:val="0"/>
          <w:numId w:val="57"/>
        </w:numPr>
      </w:pPr>
      <w:r>
        <w:rPr>
          <w:rFonts w:ascii="Calibri" w:hAnsi="Calibri" w:eastAsia="Calibri"/>
          <w:b w:val="0"/>
          <w:sz w:val="21"/>
        </w:rPr>
        <w:t>WS-002 ingestion/validation.</w:t>
      </w:r>
    </w:p>
    <w:p>
      <w:pPr>
        <w:keepLines/>
        <w:spacing w:after="80" w:line="300" w:lineRule="auto"/>
        <w:numPr>
          <w:ilvl w:val="0"/>
          <w:numId w:val="57"/>
        </w:numPr>
      </w:pPr>
      <w:r>
        <w:rPr>
          <w:rFonts w:ascii="Calibri" w:hAnsi="Calibri" w:eastAsia="Calibri"/>
          <w:b w:val="0"/>
          <w:sz w:val="21"/>
        </w:rPr>
        <w:t>WS-003 evidence edges and three rules.</w:t>
      </w:r>
    </w:p>
    <w:p>
      <w:pPr>
        <w:keepLines/>
        <w:spacing w:after="80" w:line="300" w:lineRule="auto"/>
        <w:numPr>
          <w:ilvl w:val="0"/>
          <w:numId w:val="57"/>
        </w:numPr>
      </w:pPr>
      <w:r>
        <w:rPr>
          <w:rFonts w:ascii="Calibri" w:hAnsi="Calibri" w:eastAsia="Calibri"/>
          <w:b w:val="0"/>
          <w:sz w:val="21"/>
        </w:rPr>
        <w:t>WS-005 queue/detail/disposition vertical slice.</w:t>
      </w:r>
    </w:p>
    <w:p>
      <w:pPr>
        <w:keepLines/>
        <w:spacing w:after="80" w:line="300" w:lineRule="auto"/>
        <w:numPr>
          <w:ilvl w:val="0"/>
          <w:numId w:val="57"/>
        </w:numPr>
      </w:pPr>
      <w:r>
        <w:rPr>
          <w:rFonts w:ascii="Calibri" w:hAnsi="Calibri" w:eastAsia="Calibri"/>
          <w:b w:val="0"/>
          <w:sz w:val="21"/>
        </w:rPr>
        <w:t>WS-004 similarity/anomaly only after rules baseline.</w:t>
      </w:r>
    </w:p>
    <w:p>
      <w:pPr>
        <w:keepLines/>
        <w:spacing w:after="80" w:line="300" w:lineRule="auto"/>
        <w:numPr>
          <w:ilvl w:val="0"/>
          <w:numId w:val="57"/>
        </w:numPr>
      </w:pPr>
      <w:r>
        <w:rPr>
          <w:rFonts w:ascii="Calibri" w:hAnsi="Calibri" w:eastAsia="Calibri"/>
          <w:b w:val="0"/>
          <w:sz w:val="21"/>
        </w:rPr>
        <w:t>WS-006 frozen evaluation.</w:t>
      </w:r>
    </w:p>
    <w:p>
      <w:pPr>
        <w:pStyle w:val="Heading3"/>
      </w:pPr>
      <w:r>
        <w:rPr>
          <w:rFonts w:ascii="Calibri" w:hAnsi="Calibri" w:eastAsia="Calibri"/>
          <w:b/>
        </w:rPr>
        <w:t>8. First implementation milestone</w:t>
      </w:r>
    </w:p>
    <w:p>
      <w:pPr/>
      <w:r>
        <w:rPr>
          <w:rFonts w:ascii="Calibri" w:hAnsi="Calibri" w:eastAsia="Calibri"/>
          <w:b w:val="0"/>
        </w:rPr>
        <w:t xml:space="preserve">By 2 September, </w:t>
      </w:r>
      <w:r>
        <w:rPr>
          <w:rFonts w:ascii="Consolas" w:hAnsi="Consolas" w:eastAsia="Consolas"/>
          <w:color w:val="1F4D78"/>
          <w:sz w:val="19"/>
        </w:rPr>
        <w:t>make demo-data</w:t>
      </w:r>
      <w:r>
        <w:rPr>
          <w:rFonts w:ascii="Calibri" w:hAnsi="Calibri" w:eastAsia="Calibri"/>
          <w:b w:val="0"/>
        </w:rPr>
        <w:t xml:space="preserve"> (or equivalent) creates 1,000 linked synthetic claims with at least 200 injected cases, and </w:t>
      </w:r>
      <w:r>
        <w:rPr>
          <w:rFonts w:ascii="Consolas" w:hAnsi="Consolas" w:eastAsia="Consolas"/>
          <w:color w:val="1F4D78"/>
          <w:sz w:val="19"/>
        </w:rPr>
        <w:t>POST /v1/bundles</w:t>
      </w:r>
      <w:r>
        <w:rPr>
          <w:rFonts w:ascii="Calibri" w:hAnsi="Calibri" w:eastAsia="Calibri"/>
          <w:b w:val="0"/>
        </w:rPr>
        <w:t xml:space="preserve"> validates a seeded phantom-billing fixture.</w:t>
      </w:r>
    </w:p>
    <w:p>
      <w:pPr>
        <w:pStyle w:val="Heading3"/>
      </w:pPr>
      <w:r>
        <w:rPr>
          <w:rFonts w:ascii="Calibri" w:hAnsi="Calibri" w:eastAsia="Calibri"/>
          <w:b/>
        </w:rPr>
        <w:t>9. Acceptance criteria</w:t>
      </w:r>
    </w:p>
    <w:p>
      <w:pPr/>
      <w:r>
        <w:rPr>
          <w:rFonts w:ascii="Calibri" w:hAnsi="Calibri" w:eastAsia="Calibri"/>
          <w:b w:val="0"/>
        </w:rPr>
        <w:t>Deterministic generation; resolvable references; stable error codes; no real data; no hidden injector features; tests green; exact command documented; data card updated.</w:t>
      </w:r>
    </w:p>
    <w:p>
      <w:pPr>
        <w:pStyle w:val="Heading3"/>
      </w:pPr>
      <w:r>
        <w:rPr>
          <w:rFonts w:ascii="Calibri" w:hAnsi="Calibri" w:eastAsia="Calibri"/>
          <w:b/>
        </w:rPr>
        <w:t>10. Test strategy</w:t>
      </w:r>
    </w:p>
    <w:p>
      <w:pPr/>
      <w:r>
        <w:rPr>
          <w:rFonts w:ascii="Calibri" w:hAnsi="Calibri" w:eastAsia="Calibri"/>
          <w:b w:val="0"/>
        </w:rPr>
        <w:t>Unit tests for schemas/rules/metrics; property tests for malformed and generated bundles; integration tests for API/store/audit; contract tests for web/API; Playwright for the golden workflow; reproducibility hash checks; leakage probes.</w:t>
      </w:r>
    </w:p>
    <w:p>
      <w:pPr>
        <w:pStyle w:val="Heading3"/>
      </w:pPr>
      <w:r>
        <w:rPr>
          <w:rFonts w:ascii="Calibri" w:hAnsi="Calibri" w:eastAsia="Calibri"/>
          <w:b/>
        </w:rPr>
        <w:t>11. Important constraints</w:t>
      </w:r>
    </w:p>
    <w:p>
      <w:pPr/>
      <w:r>
        <w:rPr>
          <w:rFonts w:ascii="Calibri" w:hAnsi="Calibri" w:eastAsia="Calibri"/>
          <w:b w:val="0"/>
        </w:rPr>
        <w:t>One category; synthetic data only; human decision; risk language; no automatic denial; no LLM in score; no production integration claim; preserve source/resource/version provenance; proposal metrics must be generated artifacts.</w:t>
      </w:r>
    </w:p>
    <w:p>
      <w:pPr>
        <w:pStyle w:val="Heading3"/>
      </w:pPr>
      <w:r>
        <w:rPr>
          <w:rFonts w:ascii="Calibri" w:hAnsi="Calibri" w:eastAsia="Calibri"/>
          <w:b/>
        </w:rPr>
        <w:t>12. Explicitly out of scope</w:t>
      </w:r>
    </w:p>
    <w:p>
      <w:pPr/>
      <w:r>
        <w:rPr>
          <w:rFonts w:ascii="Calibri" w:hAnsi="Calibri" w:eastAsia="Calibri"/>
          <w:b w:val="0"/>
        </w:rPr>
        <w:t>Live BPJS/SATUSEHAT connection, real participant data, clinical diagnosis/necessity, enterprise IAM, national-scale load claims, GNN/blockchain/multi-agent architecture, mobile app, and generic chatbot.</w:t>
      </w:r>
    </w:p>
    <w:p>
      <w:pPr>
        <w:pStyle w:val="Heading2"/>
      </w:pPr>
      <w:r>
        <w:rPr>
          <w:rFonts w:ascii="Calibri" w:hAnsi="Calibri" w:eastAsia="Calibri"/>
          <w:b/>
        </w:rPr>
        <w:t>Short kickoff prompt</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val="0"/>
                <w:color w:val="0B2545"/>
                <w:sz w:val="18"/>
              </w:rPr>
              <w:t xml:space="preserve">Read </w:t>
            </w:r>
            <w:r>
              <w:rPr>
                <w:rFonts w:ascii="Consolas" w:hAnsi="Consolas" w:eastAsia="Consolas"/>
                <w:color w:val="1F4D78"/>
                <w:sz w:val="17"/>
              </w:rPr>
              <w:t>docs/00_competition_brief.md</w:t>
            </w:r>
            <w:r>
              <w:rPr>
                <w:rFonts w:ascii="Calibri" w:hAnsi="Calibri" w:eastAsia="Calibri"/>
                <w:b w:val="0"/>
                <w:color w:val="0B2545"/>
                <w:sz w:val="18"/>
              </w:rPr>
              <w:t xml:space="preserve">, </w:t>
            </w:r>
            <w:r>
              <w:rPr>
                <w:rFonts w:ascii="Consolas" w:hAnsi="Consolas" w:eastAsia="Consolas"/>
                <w:color w:val="1F4D78"/>
                <w:sz w:val="17"/>
              </w:rPr>
              <w:t>docs/01_product_decision.md</w:t>
            </w:r>
            <w:r>
              <w:rPr>
                <w:rFonts w:ascii="Calibri" w:hAnsi="Calibri" w:eastAsia="Calibri"/>
                <w:b w:val="0"/>
                <w:color w:val="0B2545"/>
                <w:sz w:val="18"/>
              </w:rPr>
              <w:t xml:space="preserve">, </w:t>
            </w:r>
            <w:r>
              <w:rPr>
                <w:rFonts w:ascii="Consolas" w:hAnsi="Consolas" w:eastAsia="Consolas"/>
                <w:color w:val="1F4D78"/>
                <w:sz w:val="17"/>
              </w:rPr>
              <w:t>docs/03_architecture.md</w:t>
            </w:r>
            <w:r>
              <w:rPr>
                <w:rFonts w:ascii="Calibri" w:hAnsi="Calibri" w:eastAsia="Calibri"/>
                <w:b w:val="0"/>
                <w:color w:val="0B2545"/>
                <w:sz w:val="18"/>
              </w:rPr>
              <w:t xml:space="preserve">, </w:t>
            </w:r>
            <w:r>
              <w:rPr>
                <w:rFonts w:ascii="Consolas" w:hAnsi="Consolas" w:eastAsia="Consolas"/>
                <w:color w:val="1F4D78"/>
                <w:sz w:val="17"/>
              </w:rPr>
              <w:t>docs/04_data_card.md</w:t>
            </w:r>
            <w:r>
              <w:rPr>
                <w:rFonts w:ascii="Calibri" w:hAnsi="Calibri" w:eastAsia="Calibri"/>
                <w:b w:val="0"/>
                <w:color w:val="0B2545"/>
                <w:sz w:val="18"/>
              </w:rPr>
              <w:t xml:space="preserve">, and </w:t>
            </w:r>
            <w:r>
              <w:rPr>
                <w:rFonts w:ascii="Consolas" w:hAnsi="Consolas" w:eastAsia="Consolas"/>
                <w:color w:val="1F4D78"/>
                <w:sz w:val="17"/>
              </w:rPr>
              <w:t>workspecs/WS-001-synthetic-generator.md</w:t>
            </w:r>
            <w:r>
              <w:rPr>
                <w:rFonts w:ascii="Calibri" w:hAnsi="Calibri" w:eastAsia="Calibri"/>
                <w:b w:val="0"/>
                <w:color w:val="0B2545"/>
                <w:sz w:val="18"/>
              </w:rPr>
              <w:t xml:space="preserve">. Implement only WS-001. Start by reporting assumptions and a file-level plan, then implement, run the specified tests, and return the result-handback format from </w:t>
            </w:r>
            <w:r>
              <w:rPr>
                <w:rFonts w:ascii="Consolas" w:hAnsi="Consolas" w:eastAsia="Consolas"/>
                <w:color w:val="1F4D78"/>
                <w:sz w:val="17"/>
              </w:rPr>
              <w:t>docs/</w:t>
            </w:r>
            <w:r>
              <w:rPr>
                <w:rFonts w:ascii="Calibri" w:hAnsi="Calibri" w:eastAsia="Calibri"/>
                <w:b w:val="0"/>
                <w:color w:val="0B2545"/>
                <w:sz w:val="18"/>
              </w:rPr>
              <w:t>. Do not add real data, a production integration, an LLM, or new product scope. If the spec conflicts with code, stop and identify the conflict.</w:t>
            </w:r>
          </w:p>
        </w:tc>
      </w:tr>
    </w:tbl>
    <w:p>
      <w:pPr>
        <w:spacing w:after="0"/>
      </w:pPr>
    </w:p>
    <w:p>
      <w:pPr>
        <w:pStyle w:val="Heading2"/>
      </w:pPr>
      <w:r>
        <w:rPr>
          <w:rFonts w:ascii="Calibri" w:hAnsi="Calibri" w:eastAsia="Calibri"/>
          <w:b/>
        </w:rPr>
        <w:t>Example task prompts</w:t>
      </w:r>
    </w:p>
    <w:p>
      <w:pPr/>
      <w:r>
        <w:rPr>
          <w:rFonts w:ascii="Calibri" w:hAnsi="Calibri" w:eastAsia="Calibri"/>
          <w:b/>
        </w:rPr>
        <w:t>Backend</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val="0"/>
                <w:color w:val="0B2545"/>
                <w:sz w:val="18"/>
              </w:rPr>
              <w:t>Implement WS-002 against the committed fixtures and canonical schemas. Preserve stable error codes, input hashing, idempotency, reference validation, and log redaction. Run unit and integration tests; update OpenAPI examples and return acceptance criteria one by one.</w:t>
            </w:r>
          </w:p>
        </w:tc>
      </w:tr>
    </w:tbl>
    <w:p>
      <w:pPr>
        <w:spacing w:after="0"/>
      </w:pPr>
    </w:p>
    <w:p>
      <w:pPr/>
      <w:r>
        <w:rPr>
          <w:rFonts w:ascii="Calibri" w:hAnsi="Calibri" w:eastAsia="Calibri"/>
          <w:b/>
        </w:rPr>
        <w:t>AI/model</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val="0"/>
                <w:color w:val="0B2545"/>
                <w:sz w:val="18"/>
              </w:rPr>
              <w:t>Implement WS-004 beginning with TF-IDF/MinHash and Isolation Forest baselines. Enforce grouped splits and exclude injector metadata. Compare to rules-only using precision@K, recall@K, macro F1, PR-AUC, and FP/100 clean claims. Do not add an LLM or deep model. If no incremental value exists, recommend removal with evidence.</w:t>
            </w:r>
          </w:p>
        </w:tc>
      </w:tr>
    </w:tbl>
    <w:p>
      <w:pPr>
        <w:spacing w:after="0"/>
      </w:pPr>
    </w:p>
    <w:p>
      <w:pPr/>
      <w:r>
        <w:rPr>
          <w:rFonts w:ascii="Calibri" w:hAnsi="Calibri" w:eastAsia="Calibri"/>
          <w:b/>
        </w:rPr>
        <w:t>Frontend</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val="0"/>
                <w:color w:val="0B2545"/>
                <w:sz w:val="18"/>
              </w:rPr>
              <w:t>Implement the golden queue→case detail→disposition→audit flow in WS-005 using the committed API fixtures. Show reason before score, evidence/counter-evidence, synthetic badge, and all loading/error/stale states. No inactive navigation or chatbot. Run component and Playwright tests.</w:t>
            </w:r>
          </w:p>
        </w:tc>
      </w:tr>
    </w:tbl>
    <w:p>
      <w:pPr>
        <w:spacing w:after="0"/>
      </w:pPr>
    </w:p>
    <w:p>
      <w:pPr/>
      <w:r>
        <w:rPr>
          <w:rFonts w:ascii="Calibri" w:hAnsi="Calibri" w:eastAsia="Calibri"/>
          <w:b/>
        </w:rPr>
        <w:t>Testing</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val="0"/>
                <w:color w:val="0B2545"/>
                <w:sz w:val="18"/>
              </w:rPr>
              <w:t>Audit WS-001–WS-005 acceptance criteria. Add missing unit, contract, security-limit, and golden-path tests without changing product scope. Focus on referential integrity, idempotency, optimistic locking, log redaction, leakage, and reproducible seeded behavior. Report gaps before edits.</w:t>
            </w:r>
          </w:p>
        </w:tc>
      </w:tr>
    </w:tbl>
    <w:p>
      <w:pPr>
        <w:spacing w:after="0"/>
      </w:pPr>
    </w:p>
    <w:p>
      <w:pPr/>
      <w:r>
        <w:rPr>
          <w:rFonts w:ascii="Calibri" w:hAnsi="Calibri" w:eastAsia="Calibri"/>
          <w:b/>
        </w:rPr>
        <w:t>Evaluation</w:t>
      </w:r>
    </w:p>
    <w:tbl>
      <w:tblPr>
        <w:tblW w:type="dxa" w:w="9360"/>
        <w:jc w:val="left"/>
        <w:tblLayout w:type="fixed"/>
        <w:tblLook w:firstColumn="1" w:firstRow="1" w:lastColumn="0" w:lastRow="0" w:noHBand="0" w:noVBand="1" w:val="04A0"/>
        <w:tblInd w:w="120" w:type="dxa"/>
        <w:tblBorders>
          <w:top w:val="single" w:sz="4" w:space="0" w:color="D6DEE7"/>
          <w:left w:val="single" w:sz="4" w:space="0" w:color="D6DEE7"/>
          <w:bottom w:val="single" w:sz="4" w:space="0" w:color="D6DEE7"/>
          <w:right w:val="single" w:sz="4" w:space="0" w:color="D6DEE7"/>
          <w:insideH w:val="single" w:sz="4" w:space="0" w:color="D6DEE7"/>
          <w:insideV w:val="single" w:sz="4" w:space="0" w:color="D6DEE7"/>
        </w:tblBorders>
      </w:tblPr>
      <w:tblGrid>
        <w:gridCol w:w="9360"/>
      </w:tblGrid>
      <w:tr>
        <w:tc>
          <w:tcPr>
            <w:tcW w:type="dxa" w:w="9360"/>
            <w:tcMar>
              <w:top w:w="80" w:type="dxa"/>
              <w:start w:w="120" w:type="dxa"/>
              <w:bottom w:w="80" w:type="dxa"/>
              <w:end w:w="120" w:type="dxa"/>
            </w:tcMar>
            <w:shd w:fill="F4F6F9" w:val="clear"/>
          </w:tcPr>
          <w:p>
            <w:pPr>
              <w:spacing w:before="0" w:after="60" w:line="276" w:lineRule="auto"/>
            </w:pPr>
            <w:r/>
            <w:r>
              <w:rPr>
                <w:rFonts w:ascii="Calibri" w:hAnsi="Calibri" w:eastAsia="Calibri"/>
                <w:b w:val="0"/>
                <w:color w:val="0B2545"/>
                <w:sz w:val="18"/>
              </w:rPr>
              <w:t>Run WS-006 from a clean environment on the frozen split. Generate machine-readable metrics and proposal-ready charts from the same source values. Verify no demo fixture or injector-only field enters evaluation. Write limitations that distinguish synthetic software proof from real JKN performance.</w:t>
            </w:r>
          </w:p>
        </w:tc>
      </w:tr>
    </w:tbl>
    <w:p>
      <w:pPr>
        <w:spacing w:after="0"/>
      </w:pPr>
    </w:p>
    <w:p>
      <w:pPr>
        <w:pStyle w:val="Heading1"/>
        <w:pageBreakBefore/>
      </w:pPr>
      <w:r>
        <w:rPr>
          <w:rFonts w:ascii="Calibri" w:hAnsi="Calibri" w:eastAsia="Calibri"/>
          <w:b/>
        </w:rPr>
        <w:t>21. Proposal Deck Plan</w:t>
      </w:r>
    </w:p>
    <w:p>
      <w:pPr>
        <w:pStyle w:val="Heading2"/>
      </w:pPr>
      <w:r>
        <w:rPr>
          <w:rFonts w:ascii="Calibri" w:hAnsi="Calibri" w:eastAsia="Calibri"/>
          <w:b/>
        </w:rPr>
        <w:t>Format recommendation</w:t>
      </w:r>
    </w:p>
    <w:p>
      <w:pPr/>
      <w:r>
        <w:rPr>
          <w:rFonts w:ascii="Calibri" w:hAnsi="Calibri" w:eastAsia="Calibri"/>
          <w:b w:val="0"/>
        </w:rPr>
        <w:t xml:space="preserve">Use </w:t>
      </w:r>
      <w:r>
        <w:rPr>
          <w:rFonts w:ascii="Calibri" w:hAnsi="Calibri" w:eastAsia="Calibri"/>
          <w:b/>
        </w:rPr>
        <w:t>16 slides</w:t>
      </w:r>
      <w:r>
        <w:rPr>
          <w:rFonts w:ascii="Calibri" w:hAnsi="Calibri" w:eastAsia="Calibri"/>
          <w:b w:val="0"/>
        </w:rPr>
        <w:t>, exported to PDF under 10 MB. This leaves four slides of official headroom but is long enough to cover every required component and the six criteria. Do not use all 20 unless actual evidence requires it. [PDF-PP p. 2]</w:t>
      </w:r>
    </w:p>
    <w:p>
      <w:pPr>
        <w:pStyle w:val="Heading2"/>
      </w:pPr>
      <w:r>
        <w:rPr>
          <w:rFonts w:ascii="Calibri" w:hAnsi="Calibri" w:eastAsia="Calibri"/>
          <w:b/>
        </w:rPr>
        <w:t>Slide-by-slide winning deck</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500"/>
        <w:gridCol w:w="1700"/>
        <w:gridCol w:w="1540"/>
        <w:gridCol w:w="1540"/>
        <w:gridCol w:w="1540"/>
        <w:gridCol w:w="1540"/>
      </w:tblGrid>
      <w:tr>
        <w:trPr>
          <w:tblHeader w:val="true"/>
        </w:trPr>
        <w:tc>
          <w:tcPr>
            <w:tcW w:type="dxa" w:w="1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w:t>
            </w:r>
          </w:p>
        </w:tc>
        <w:tc>
          <w:tcPr>
            <w:tcW w:type="dxa" w:w="1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Title</w:t>
            </w:r>
          </w:p>
        </w:tc>
        <w:tc>
          <w:tcPr>
            <w:tcW w:type="dxa" w:w="15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Objective and key message</w:t>
            </w:r>
          </w:p>
        </w:tc>
        <w:tc>
          <w:tcPr>
            <w:tcW w:type="dxa" w:w="15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Content / evidence required</w:t>
            </w:r>
          </w:p>
        </w:tc>
        <w:tc>
          <w:tcPr>
            <w:tcW w:type="dxa" w:w="15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Visual idea</w:t>
            </w:r>
          </w:p>
        </w:tc>
        <w:tc>
          <w:tcPr>
            <w:tcW w:type="dxa" w:w="154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4"/>
              </w:rPr>
              <w:t>Judge should remember</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TilikKlaim</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Position in five seconds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Full title, tagline, Facility category, four modes, one-sentence value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One clean claim→evidence motif</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Every claim risk signal has traceable evidence</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2</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Why now: claims are becoming evidence-native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Establish timing, not fear</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July 2026 joint circular; SATUSEHAT claim/RME flow; source footnotes [E01–E04]</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Policy timeline + three-source flow</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This fits a current national direction</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3</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The control gap before submission</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Make pain specific</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Current likely steps, missing cross-record trace, human workload; label unvalidated workflow assumptions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Before workflow with friction callouts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The problem is evidence reconciliation, not “lack of AI”</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4</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One claim, one visible inconsistency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Give a concrete case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Synthetic phantom example: billed procedure, absent completed evidence, incomplete-bundle caveat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Claim line beside evidence path</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Value is obvious in 30 seconds</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5</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The solution in one screen</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Explain product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Ingest, link, detect, explain, review, audit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Annotated case-detail screenshot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Small working product, not a concept cloud</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6</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Human decides; AI prioritizes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Prove safe workflow</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Allowed/prohibited actions, dispositions, uncertainty, audit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Simple HITL flow</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No automatic accusation or denial</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7</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Why this is different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Defend novelty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Standards-shaped evidence graph, counter-evidence, reason versions, human labels; acknowledge existing controls and public PRO-CLAIM fact without speculation [E13–E14]</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Comparison table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Not another generic copilot or black-box score</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8</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Data strategy: honest by design</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Prove feasibility/privacy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Real public evidence vs synthetic records; Synthea license; 10k target; injections/splits; limitations [E09–E11]</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Two-lane data diagram</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No unauthorized JKN data and no synthetic overclaim</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9</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Architecture that earns every component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Prove technical coherence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Ingestion→validation→evidence graph→rules/similarity/anomaly→review→audit/eval</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Architecture diagram</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Appropriate, restrained technology</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10</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AI: where it helps—and where it does not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Pass appropriateness criterion</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Detector by mode; rules baseline; LLM excluded from score; optional bounded summary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Method/evidence matrix</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AI is used because it adds measurable ranking value</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11</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Functional prototype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Prove maturity honestly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Actual screenshots, working features, release hash, demo QR/link only if allowed</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Three-screen strip</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The core function works today</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12</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Measured on frozen synthetic cases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Prove effectiveness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B0/B1/B2/hybrid metrics, FP/100, latency, CI/limits; actual values only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PR/precision@K + small table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Results are real, reproducible, and correctly scoped</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13</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Failure cases make the system safer</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Show maturity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False positive, counter-evidence, incomplete bundle response, reviewer disagreement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One false-positive case study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The team understands uncertainty and harm</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14</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Privacy, security, and governance are product features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Cover PDP/ethics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Synthetic/pseudonymized design, minimization, roles, audit, change control, HITL [E12, E16–E17]</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Control layers around workflow</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Safe adoption is designed in</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15</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Path to a BPJS/JKN pilot and measurable value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Show scale/feasibility</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30/60/90-day authorized pilot, integration assumptions, target metrics, no savings claim</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Staged roadmap with gates</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There is a credible next step, not fantasy integration</w:t>
            </w:r>
          </w:p>
        </w:tc>
      </w:tr>
      <w:tr>
        <w:trPr>
          <w:cantSplit/>
        </w:trPr>
        <w:tc>
          <w:tcPr>
            <w:tcW w:type="dxa" w:w="1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16</w:t>
            </w:r>
          </w:p>
        </w:tc>
        <w:tc>
          <w:tcPr>
            <w:tcW w:type="dxa" w:w="1700"/>
            <w:tcMar>
              <w:top w:w="80" w:type="dxa"/>
              <w:start w:w="120" w:type="dxa"/>
              <w:bottom w:w="80" w:type="dxa"/>
              <w:end w:w="120" w:type="dxa"/>
            </w:tcMar>
            <w:vAlign w:val="top"/>
          </w:tcPr>
          <w:p>
            <w:pPr>
              <w:spacing w:before="0" w:after="0" w:line="240" w:lineRule="auto"/>
            </w:pPr>
            <w:r>
              <w:rPr>
                <w:rFonts w:ascii="Calibri" w:hAnsi="Calibri" w:eastAsia="Calibri"/>
                <w:b/>
                <w:color w:val="0B2545"/>
                <w:sz w:val="14"/>
              </w:rPr>
              <w:t>Why this team, why it will execute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Close with confidence</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Three complementary owners, achieved artifacts, next-stage ask, one-line recap</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Team capability triangle + proof checklist</w:t>
            </w:r>
          </w:p>
        </w:tc>
        <w:tc>
          <w:tcPr>
            <w:tcW w:type="dxa" w:w="154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4"/>
              </w:rPr>
              <w:t>The team can turn evidence into a deployable pilot</w:t>
            </w:r>
          </w:p>
        </w:tc>
      </w:tr>
    </w:tbl>
    <w:p>
      <w:pPr>
        <w:spacing w:before="0" w:after="60"/>
      </w:pPr>
    </w:p>
    <w:p>
      <w:pPr>
        <w:pStyle w:val="Heading2"/>
      </w:pPr>
      <w:r>
        <w:rPr>
          <w:rFonts w:ascii="Calibri" w:hAnsi="Calibri" w:eastAsia="Calibri"/>
          <w:b/>
        </w:rPr>
        <w:t>Official requirement → slide mapping</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5000"/>
        <w:gridCol w:w="4360"/>
      </w:tblGrid>
      <w:tr>
        <w:trPr>
          <w:tblHeader w:val="true"/>
        </w:trPr>
        <w:tc>
          <w:tcPr>
            <w:tcW w:type="dxa" w:w="50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Official proposal requirement</w:t>
            </w:r>
          </w:p>
        </w:tc>
        <w:tc>
          <w:tcPr>
            <w:tcW w:type="dxa" w:w="43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Slide(s)</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Identity &amp; positioning</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Problem &amp; urgency</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2–4</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Solution &amp; advantage</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5–7</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Technical approach &amp; data</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8–10</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Maturity, prototype &amp; experience</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11–13</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Plan &amp; feasibility</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15</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Impact &amp; value</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12, 15</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Risk, privacy &amp; ethics</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6, 8, 13–14</w:t>
            </w:r>
          </w:p>
        </w:tc>
      </w:tr>
      <w:tr>
        <w:trPr>
          <w:cantSplit/>
        </w:trPr>
        <w:tc>
          <w:tcPr>
            <w:tcW w:type="dxa" w:w="50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Team profile &amp; experience</w:t>
            </w:r>
          </w:p>
        </w:tc>
        <w:tc>
          <w:tcPr>
            <w:tcW w:type="dxa" w:w="43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16</w:t>
            </w:r>
          </w:p>
        </w:tc>
      </w:tr>
    </w:tbl>
    <w:p>
      <w:pPr>
        <w:spacing w:before="0" w:after="60"/>
      </w:pPr>
    </w:p>
    <w:p>
      <w:pPr>
        <w:pStyle w:val="Heading2"/>
      </w:pPr>
      <w:r>
        <w:rPr>
          <w:rFonts w:ascii="Calibri" w:hAnsi="Calibri" w:eastAsia="Calibri"/>
          <w:b/>
        </w:rPr>
        <w:t>Official judging criterion → proposal evidence</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Official criterion</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Evidence in proposal</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Relevance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Official facility modes; July 2026 policy shift; concrete claim-line case; JKN scale without fraud overclaim</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Creativity/innovation</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Claim-to-clinical evidence graph, counter-evidence, reason provenance, human label loop; differentiation table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Technology quality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Published-resource mapping; restrained architecture; rules/similarity/anomaly rationale; LLM non-role</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Effectiveness/impact</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Frozen synthetic baselines; FP/100; precision@review budget; latency; pilot measurement plan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Readiness/scalability</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Actual prototype/screens, clean run, standards-shaped contracts, staged authorized pilot, explicit assumptions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Security/governance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Synthetic/pseudonymous data, UU PDP framing, roles, audit, uncertainty, human decision, false-positive case</w:t>
            </w:r>
          </w:p>
        </w:tc>
      </w:tr>
    </w:tbl>
    <w:p>
      <w:pPr>
        <w:spacing w:before="0" w:after="60"/>
      </w:pPr>
    </w:p>
    <w:p>
      <w:pPr>
        <w:pStyle w:val="Heading2"/>
      </w:pPr>
      <w:r>
        <w:rPr>
          <w:rFonts w:ascii="Calibri" w:hAnsi="Calibri" w:eastAsia="Calibri"/>
          <w:b/>
        </w:rPr>
        <w:t>Deck production rules</w:t>
      </w:r>
    </w:p>
    <w:p>
      <w:pPr>
        <w:keepLines/>
        <w:spacing w:after="80" w:line="300" w:lineRule="auto"/>
        <w:numPr>
          <w:ilvl w:val="0"/>
          <w:numId w:val="58"/>
        </w:numPr>
      </w:pPr>
      <w:r>
        <w:rPr>
          <w:rFonts w:ascii="Calibri" w:hAnsi="Calibri" w:eastAsia="Calibri"/>
          <w:b w:val="0"/>
          <w:sz w:val="21"/>
        </w:rPr>
        <w:t>One claim per slide; no paragraph walls.</w:t>
      </w:r>
    </w:p>
    <w:p>
      <w:pPr>
        <w:keepLines/>
        <w:spacing w:after="80" w:line="300" w:lineRule="auto"/>
        <w:numPr>
          <w:ilvl w:val="0"/>
          <w:numId w:val="58"/>
        </w:numPr>
      </w:pPr>
      <w:r>
        <w:rPr>
          <w:rFonts w:ascii="Calibri" w:hAnsi="Calibri" w:eastAsia="Calibri"/>
          <w:b w:val="0"/>
          <w:sz w:val="21"/>
        </w:rPr>
        <w:t>Source every statistic and policy statement in a readable footer.</w:t>
      </w:r>
    </w:p>
    <w:p>
      <w:pPr>
        <w:keepLines/>
        <w:spacing w:after="80" w:line="300" w:lineRule="auto"/>
        <w:numPr>
          <w:ilvl w:val="0"/>
          <w:numId w:val="58"/>
        </w:numPr>
      </w:pPr>
      <w:r>
        <w:rPr>
          <w:rFonts w:ascii="Calibri" w:hAnsi="Calibri" w:eastAsia="Calibri"/>
          <w:b w:val="0"/>
          <w:sz w:val="21"/>
        </w:rPr>
        <w:t xml:space="preserve">Clearly stamp screenshots/charts </w:t>
      </w:r>
      <w:r>
        <w:rPr>
          <w:rFonts w:ascii="Calibri" w:hAnsi="Calibri" w:eastAsia="Calibri"/>
          <w:b/>
          <w:sz w:val="21"/>
        </w:rPr>
        <w:t>SYNTHETIC PROTOTYPE DATA</w:t>
      </w:r>
      <w:r>
        <w:rPr>
          <w:rFonts w:ascii="Calibri" w:hAnsi="Calibri" w:eastAsia="Calibri"/>
          <w:b w:val="0"/>
          <w:sz w:val="21"/>
        </w:rPr>
        <w:t>.</w:t>
      </w:r>
    </w:p>
    <w:p>
      <w:pPr>
        <w:keepLines/>
        <w:spacing w:after="80" w:line="300" w:lineRule="auto"/>
        <w:numPr>
          <w:ilvl w:val="0"/>
          <w:numId w:val="58"/>
        </w:numPr>
      </w:pPr>
      <w:r>
        <w:rPr>
          <w:rFonts w:ascii="Calibri" w:hAnsi="Calibri" w:eastAsia="Calibri"/>
          <w:b w:val="0"/>
          <w:sz w:val="21"/>
        </w:rPr>
        <w:t>Never show a metric placeholder as a result.</w:t>
      </w:r>
    </w:p>
    <w:p>
      <w:pPr>
        <w:keepLines/>
        <w:spacing w:after="80" w:line="300" w:lineRule="auto"/>
        <w:numPr>
          <w:ilvl w:val="0"/>
          <w:numId w:val="58"/>
        </w:numPr>
      </w:pPr>
      <w:r>
        <w:rPr>
          <w:rFonts w:ascii="Calibri" w:hAnsi="Calibri" w:eastAsia="Calibri"/>
          <w:b w:val="0"/>
          <w:sz w:val="21"/>
        </w:rPr>
        <w:t>Use exact category and mode wording from the official documents.</w:t>
      </w:r>
    </w:p>
    <w:p>
      <w:pPr>
        <w:keepLines/>
        <w:spacing w:after="80" w:line="300" w:lineRule="auto"/>
        <w:numPr>
          <w:ilvl w:val="0"/>
          <w:numId w:val="58"/>
        </w:numPr>
      </w:pPr>
      <w:r>
        <w:rPr>
          <w:rFonts w:ascii="Calibri" w:hAnsi="Calibri" w:eastAsia="Calibri"/>
          <w:b w:val="0"/>
          <w:sz w:val="21"/>
        </w:rPr>
        <w:t>Use diagrams and screenshots, not stock photos.</w:t>
      </w:r>
    </w:p>
    <w:p>
      <w:pPr>
        <w:keepLines/>
        <w:spacing w:after="80" w:line="300" w:lineRule="auto"/>
        <w:numPr>
          <w:ilvl w:val="0"/>
          <w:numId w:val="58"/>
        </w:numPr>
      </w:pPr>
      <w:r>
        <w:rPr>
          <w:rFonts w:ascii="Calibri" w:hAnsi="Calibri" w:eastAsia="Calibri"/>
          <w:b w:val="0"/>
          <w:sz w:val="21"/>
        </w:rPr>
        <w:t>Keep a source/evidence backup appendix in the working deck, but export only the selected 16 slides unless allowed and useful.</w:t>
      </w:r>
    </w:p>
    <w:p>
      <w:pPr>
        <w:pStyle w:val="Heading1"/>
        <w:pageBreakBefore/>
      </w:pPr>
      <w:r>
        <w:rPr>
          <w:rFonts w:ascii="Calibri" w:hAnsi="Calibri" w:eastAsia="Calibri"/>
          <w:b/>
        </w:rPr>
        <w:t>22. Demo Plan</w:t>
      </w:r>
    </w:p>
    <w:p>
      <w:pPr>
        <w:pStyle w:val="Heading2"/>
      </w:pPr>
      <w:r>
        <w:rPr>
          <w:rFonts w:ascii="Calibri" w:hAnsi="Calibri" w:eastAsia="Calibri"/>
          <w:b/>
        </w:rPr>
        <w:t>Ideal demo case</w:t>
      </w:r>
    </w:p>
    <w:p>
      <w:pPr/>
      <w:r>
        <w:rPr>
          <w:rFonts w:ascii="Calibri" w:hAnsi="Calibri" w:eastAsia="Calibri"/>
          <w:b w:val="0"/>
        </w:rPr>
        <w:t>A synthetic inpatient claim includes a billed procedure line, but the bundle has no matching completed Procedure. The bundle is otherwise plausible, and the interface explicitly notes that incomplete evidence is a possible explanation. This gives a clear reason, a safe uncertainty lesson, and an appropriate action: request evidence or escalate—never “fraud confirmed.”</w:t>
      </w:r>
    </w:p>
    <w:p>
      <w:pPr>
        <w:pStyle w:val="Heading2"/>
      </w:pPr>
      <w:r>
        <w:rPr>
          <w:rFonts w:ascii="Calibri" w:hAnsi="Calibri" w:eastAsia="Calibri"/>
          <w:b/>
        </w:rPr>
        <w:t>90-second flow</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500"/>
        <w:gridCol w:w="3430"/>
        <w:gridCol w:w="3430"/>
      </w:tblGrid>
      <w:tr>
        <w:trPr>
          <w:tblHeader w:val="true"/>
        </w:trPr>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Time</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Action</w:t>
            </w:r>
          </w:p>
        </w:tc>
        <w:tc>
          <w:tcPr>
            <w:tcW w:type="dxa" w:w="343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7"/>
              </w:rPr>
              <w:t>Expected output / narration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0–10s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Open queue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“TilikKlaim prioritizes claim evidence risk before submission.”</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10–25s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Select top case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Reason says billed procedure lacks completed support; synthetic badge visible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25–50s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Open evidence path</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Show claim line → expected Procedure → observed missing/invalid evidence; timeline and counter-evidence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50–70s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Choose Request Evidence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Structured reason prefilled; reviewer edits and confirms</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70–82s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Open audit event</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Actor, action, evidence, input hash, rule version, time</w:t>
            </w:r>
          </w:p>
        </w:tc>
      </w:tr>
      <w:tr>
        <w:trPr>
          <w:cantSplit/>
        </w:trPr>
        <w:tc>
          <w:tcPr>
            <w:tcW w:type="dxa" w:w="25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82–90s</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Close</w:t>
            </w:r>
          </w:p>
        </w:tc>
        <w:tc>
          <w:tcPr>
            <w:tcW w:type="dxa" w:w="343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7"/>
              </w:rPr>
              <w:t>“AI prioritizes; humans decide; every decision is traceable.”</w:t>
            </w:r>
          </w:p>
        </w:tc>
      </w:tr>
    </w:tbl>
    <w:p>
      <w:pPr>
        <w:spacing w:before="0" w:after="60"/>
      </w:pPr>
    </w:p>
    <w:p>
      <w:pPr>
        <w:pStyle w:val="Heading2"/>
      </w:pPr>
      <w:r>
        <w:rPr>
          <w:rFonts w:ascii="Calibri" w:hAnsi="Calibri" w:eastAsia="Calibri"/>
          <w:b/>
        </w:rPr>
        <w:t>Three-minute flow</w:t>
      </w:r>
    </w:p>
    <w:p>
      <w:pPr>
        <w:keepLines/>
        <w:spacing w:after="80" w:line="300" w:lineRule="auto"/>
        <w:numPr>
          <w:ilvl w:val="0"/>
          <w:numId w:val="59"/>
        </w:numPr>
      </w:pPr>
      <w:r>
        <w:rPr>
          <w:rFonts w:ascii="Calibri" w:hAnsi="Calibri" w:eastAsia="Calibri"/>
          <w:b/>
          <w:sz w:val="21"/>
        </w:rPr>
        <w:t>0:00–0:25 — context:</w:t>
      </w:r>
      <w:r>
        <w:rPr>
          <w:rFonts w:ascii="Calibri" w:hAnsi="Calibri" w:eastAsia="Calibri"/>
          <w:b w:val="0"/>
          <w:sz w:val="21"/>
        </w:rPr>
        <w:t xml:space="preserve"> one sentence on official facility modes and July 2026 claim/RME integration.</w:t>
      </w:r>
    </w:p>
    <w:p>
      <w:pPr>
        <w:keepLines/>
        <w:spacing w:after="80" w:line="300" w:lineRule="auto"/>
        <w:numPr>
          <w:ilvl w:val="0"/>
          <w:numId w:val="59"/>
        </w:numPr>
      </w:pPr>
      <w:r>
        <w:rPr>
          <w:rFonts w:ascii="Calibri" w:hAnsi="Calibri" w:eastAsia="Calibri"/>
          <w:b/>
          <w:sz w:val="21"/>
        </w:rPr>
        <w:t>0:25–0:45 — input:</w:t>
      </w:r>
      <w:r>
        <w:rPr>
          <w:rFonts w:ascii="Calibri" w:hAnsi="Calibri" w:eastAsia="Calibri"/>
          <w:b w:val="0"/>
          <w:sz w:val="21"/>
        </w:rPr>
        <w:t xml:space="preserve"> choose the seeded phantom case; show resource validation and synthetic label.</w:t>
      </w:r>
    </w:p>
    <w:p>
      <w:pPr>
        <w:keepLines/>
        <w:spacing w:after="80" w:line="300" w:lineRule="auto"/>
        <w:numPr>
          <w:ilvl w:val="0"/>
          <w:numId w:val="59"/>
        </w:numPr>
      </w:pPr>
      <w:r>
        <w:rPr>
          <w:rFonts w:ascii="Calibri" w:hAnsi="Calibri" w:eastAsia="Calibri"/>
          <w:b/>
          <w:sz w:val="21"/>
        </w:rPr>
        <w:t>0:45–1:30 — detection/evidence:</w:t>
      </w:r>
      <w:r>
        <w:rPr>
          <w:rFonts w:ascii="Calibri" w:hAnsi="Calibri" w:eastAsia="Calibri"/>
          <w:b w:val="0"/>
          <w:sz w:val="21"/>
        </w:rPr>
        <w:t xml:space="preserve"> queue, reason, claim line, evidence path, timeline, incomplete-bundle caveat.</w:t>
      </w:r>
    </w:p>
    <w:p>
      <w:pPr>
        <w:keepLines/>
        <w:spacing w:after="80" w:line="300" w:lineRule="auto"/>
        <w:numPr>
          <w:ilvl w:val="0"/>
          <w:numId w:val="59"/>
        </w:numPr>
      </w:pPr>
      <w:r>
        <w:rPr>
          <w:rFonts w:ascii="Calibri" w:hAnsi="Calibri" w:eastAsia="Calibri"/>
          <w:b/>
          <w:sz w:val="21"/>
        </w:rPr>
        <w:t>1:30–2:00 — human action:</w:t>
      </w:r>
      <w:r>
        <w:rPr>
          <w:rFonts w:ascii="Calibri" w:hAnsi="Calibri" w:eastAsia="Calibri"/>
          <w:b w:val="0"/>
          <w:sz w:val="21"/>
        </w:rPr>
        <w:t xml:space="preserve"> request evidence, enter reason, see state change and audit.</w:t>
      </w:r>
    </w:p>
    <w:p>
      <w:pPr>
        <w:keepLines/>
        <w:spacing w:after="80" w:line="300" w:lineRule="auto"/>
        <w:numPr>
          <w:ilvl w:val="0"/>
          <w:numId w:val="59"/>
        </w:numPr>
      </w:pPr>
      <w:r>
        <w:rPr>
          <w:rFonts w:ascii="Calibri" w:hAnsi="Calibri" w:eastAsia="Calibri"/>
          <w:b/>
          <w:sz w:val="21"/>
        </w:rPr>
        <w:t>2:00–2:25 — contrast case:</w:t>
      </w:r>
      <w:r>
        <w:rPr>
          <w:rFonts w:ascii="Calibri" w:hAnsi="Calibri" w:eastAsia="Calibri"/>
          <w:b w:val="0"/>
          <w:sz w:val="21"/>
        </w:rPr>
        <w:t xml:space="preserve"> open a clone similarity false positive caused by legitimate templating; dismiss it with counter-evidence.</w:t>
      </w:r>
    </w:p>
    <w:p>
      <w:pPr>
        <w:keepLines/>
        <w:spacing w:after="80" w:line="300" w:lineRule="auto"/>
        <w:numPr>
          <w:ilvl w:val="0"/>
          <w:numId w:val="59"/>
        </w:numPr>
      </w:pPr>
      <w:r>
        <w:rPr>
          <w:rFonts w:ascii="Calibri" w:hAnsi="Calibri" w:eastAsia="Calibri"/>
          <w:b/>
          <w:sz w:val="21"/>
        </w:rPr>
        <w:t>2:25–2:45 — measurement:</w:t>
      </w:r>
      <w:r>
        <w:rPr>
          <w:rFonts w:ascii="Calibri" w:hAnsi="Calibri" w:eastAsia="Calibri"/>
          <w:b w:val="0"/>
          <w:sz w:val="21"/>
        </w:rPr>
        <w:t xml:space="preserve"> show rules-only vs hybrid on frozen synthetic data and false positives/100.</w:t>
      </w:r>
    </w:p>
    <w:p>
      <w:pPr>
        <w:keepLines/>
        <w:spacing w:after="80" w:line="300" w:lineRule="auto"/>
        <w:numPr>
          <w:ilvl w:val="0"/>
          <w:numId w:val="59"/>
        </w:numPr>
      </w:pPr>
      <w:r>
        <w:rPr>
          <w:rFonts w:ascii="Calibri" w:hAnsi="Calibri" w:eastAsia="Calibri"/>
          <w:b/>
          <w:sz w:val="21"/>
        </w:rPr>
        <w:t>2:45–3:00 — close:</w:t>
      </w:r>
      <w:r>
        <w:rPr>
          <w:rFonts w:ascii="Calibri" w:hAnsi="Calibri" w:eastAsia="Calibri"/>
          <w:b w:val="0"/>
          <w:sz w:val="21"/>
        </w:rPr>
        <w:t xml:space="preserve"> standards-compatible pilot path; no live integration or real-data claim.</w:t>
      </w:r>
    </w:p>
    <w:p>
      <w:pPr>
        <w:pStyle w:val="Heading2"/>
      </w:pPr>
      <w:r>
        <w:rPr>
          <w:rFonts w:ascii="Calibri" w:hAnsi="Calibri" w:eastAsia="Calibri"/>
          <w:b/>
        </w:rPr>
        <w:t>Expected user actions and outputs</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User action</w:t>
            </w:r>
          </w:p>
        </w:tc>
        <w:tc>
          <w:tcPr>
            <w:tcW w:type="dxa" w:w="66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8"/>
              </w:rPr>
              <w:t>System output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Upload/select bundle</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Validation, resource count, input hash, errors</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Screen</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Reasons, priority band, component scores, latency, engine version</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Select reason</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Evidence/counter-evidence refs, timeline, comparison if relevant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Disposition</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New state and append-only event</w:t>
            </w:r>
          </w:p>
        </w:tc>
      </w:tr>
      <w:tr>
        <w:trPr>
          <w:cantSplit/>
        </w:trPr>
        <w:tc>
          <w:tcPr>
            <w:tcW w:type="dxa" w:w="270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View evaluation</w:t>
            </w:r>
          </w:p>
        </w:tc>
        <w:tc>
          <w:tcPr>
            <w:tcW w:type="dxa" w:w="6660"/>
            <w:tcMar>
              <w:top w:w="80" w:type="dxa"/>
              <w:start w:w="120" w:type="dxa"/>
              <w:bottom w:w="80" w:type="dxa"/>
              <w:end w:w="120" w:type="dxa"/>
            </w:tcMar>
            <w:vAlign w:val="top"/>
          </w:tcPr>
          <w:p>
            <w:pPr>
              <w:spacing w:before="0" w:after="0" w:line="259" w:lineRule="auto"/>
            </w:pPr>
            <w:r>
              <w:rPr>
                <w:rFonts w:ascii="Calibri" w:hAnsi="Calibri" w:eastAsia="Calibri"/>
                <w:b w:val="0"/>
                <w:color w:val="0B2545"/>
                <w:sz w:val="18"/>
              </w:rPr>
              <w:t>Dataset/model versions, baseline metrics, limitations</w:t>
            </w:r>
          </w:p>
        </w:tc>
      </w:tr>
    </w:tbl>
    <w:p>
      <w:pPr>
        <w:spacing w:before="0" w:after="60"/>
      </w:pPr>
    </w:p>
    <w:p>
      <w:pPr>
        <w:pStyle w:val="Heading2"/>
      </w:pPr>
      <w:r>
        <w:rPr>
          <w:rFonts w:ascii="Calibri" w:hAnsi="Calibri" w:eastAsia="Calibri"/>
          <w:b/>
        </w:rPr>
        <w:t>Demo reliability</w:t>
      </w:r>
    </w:p>
    <w:p>
      <w:pPr>
        <w:keepLines/>
        <w:spacing w:after="80" w:line="300" w:lineRule="auto"/>
        <w:numPr>
          <w:ilvl w:val="0"/>
          <w:numId w:val="60"/>
        </w:numPr>
      </w:pPr>
      <w:r>
        <w:rPr>
          <w:rFonts w:ascii="Calibri" w:hAnsi="Calibri" w:eastAsia="Calibri"/>
          <w:b w:val="0"/>
          <w:sz w:val="21"/>
        </w:rPr>
        <w:t>Use deterministic seeded fixtures and local Docker Compose.</w:t>
      </w:r>
    </w:p>
    <w:p>
      <w:pPr>
        <w:keepLines/>
        <w:spacing w:after="80" w:line="300" w:lineRule="auto"/>
        <w:numPr>
          <w:ilvl w:val="0"/>
          <w:numId w:val="60"/>
        </w:numPr>
      </w:pPr>
      <w:r>
        <w:rPr>
          <w:rFonts w:ascii="Calibri" w:hAnsi="Calibri" w:eastAsia="Calibri"/>
          <w:b w:val="0"/>
          <w:sz w:val="21"/>
        </w:rPr>
        <w:t>Warm the application and cache; then reset to a known state.</w:t>
      </w:r>
    </w:p>
    <w:p>
      <w:pPr>
        <w:keepLines/>
        <w:spacing w:after="80" w:line="300" w:lineRule="auto"/>
        <w:numPr>
          <w:ilvl w:val="0"/>
          <w:numId w:val="60"/>
        </w:numPr>
      </w:pPr>
      <w:r>
        <w:rPr>
          <w:rFonts w:ascii="Calibri" w:hAnsi="Calibri" w:eastAsia="Calibri"/>
          <w:b w:val="0"/>
          <w:sz w:val="21"/>
        </w:rPr>
        <w:t>Test on the presentation machine, offline.</w:t>
      </w:r>
    </w:p>
    <w:p>
      <w:pPr>
        <w:keepLines/>
        <w:spacing w:after="80" w:line="300" w:lineRule="auto"/>
        <w:numPr>
          <w:ilvl w:val="0"/>
          <w:numId w:val="60"/>
        </w:numPr>
      </w:pPr>
      <w:r>
        <w:rPr>
          <w:rFonts w:ascii="Calibri" w:hAnsi="Calibri" w:eastAsia="Calibri"/>
          <w:b w:val="0"/>
          <w:sz w:val="21"/>
        </w:rPr>
        <w:t>Keep one-click scripts for start, health check, seed, and reset.</w:t>
      </w:r>
    </w:p>
    <w:p>
      <w:pPr>
        <w:keepLines/>
        <w:spacing w:after="80" w:line="300" w:lineRule="auto"/>
        <w:numPr>
          <w:ilvl w:val="0"/>
          <w:numId w:val="60"/>
        </w:numPr>
      </w:pPr>
      <w:r>
        <w:rPr>
          <w:rFonts w:ascii="Calibri" w:hAnsi="Calibri" w:eastAsia="Calibri"/>
          <w:b w:val="0"/>
          <w:sz w:val="21"/>
        </w:rPr>
        <w:t>Record screen at 1080p with the same narration and cursor path.</w:t>
      </w:r>
    </w:p>
    <w:p>
      <w:pPr>
        <w:keepLines/>
        <w:spacing w:after="80" w:line="300" w:lineRule="auto"/>
        <w:numPr>
          <w:ilvl w:val="0"/>
          <w:numId w:val="60"/>
        </w:numPr>
      </w:pPr>
      <w:r>
        <w:rPr>
          <w:rFonts w:ascii="Calibri" w:hAnsi="Calibri" w:eastAsia="Calibri"/>
          <w:b w:val="0"/>
          <w:sz w:val="21"/>
        </w:rPr>
        <w:t>Export a six-frame screenshot PDF as a last fallback.</w:t>
      </w:r>
    </w:p>
    <w:p>
      <w:pPr>
        <w:keepLines/>
        <w:spacing w:after="80" w:line="300" w:lineRule="auto"/>
        <w:numPr>
          <w:ilvl w:val="0"/>
          <w:numId w:val="60"/>
        </w:numPr>
      </w:pPr>
      <w:r>
        <w:rPr>
          <w:rFonts w:ascii="Calibri" w:hAnsi="Calibri" w:eastAsia="Calibri"/>
          <w:b w:val="0"/>
          <w:sz w:val="21"/>
        </w:rPr>
        <w:t>Never depend on a remote LLM, SATUSEHAT, BPJS, or cloud database.</w:t>
      </w:r>
    </w:p>
    <w:p>
      <w:pPr>
        <w:pStyle w:val="Heading2"/>
      </w:pPr>
      <w:r>
        <w:rPr>
          <w:rFonts w:ascii="Calibri" w:hAnsi="Calibri" w:eastAsia="Calibri"/>
          <w:b/>
        </w:rPr>
        <w:t>Fallback if live demo fails</w:t>
      </w:r>
    </w:p>
    <w:p>
      <w:pPr/>
      <w:r>
        <w:rPr>
          <w:rFonts w:ascii="Calibri" w:hAnsi="Calibri" w:eastAsia="Calibri"/>
          <w:b w:val="0"/>
        </w:rPr>
        <w:t xml:space="preserve">Say one sentence—“The local service did not start; here is the identical deterministic run captured from release </w:t>
      </w:r>
      <w:r>
        <w:rPr>
          <w:rFonts w:ascii="Consolas" w:hAnsi="Consolas" w:eastAsia="Consolas"/>
          <w:color w:val="1F4D78"/>
          <w:sz w:val="19"/>
        </w:rPr>
        <w:t>&lt;hash&gt;</w:t>
      </w:r>
      <w:r>
        <w:rPr>
          <w:rFonts w:ascii="Calibri" w:hAnsi="Calibri" w:eastAsia="Calibri"/>
          <w:b w:val="0"/>
        </w:rPr>
        <w:t>”—then play the 90-second recording. Do not troubleshoot on stage. Keep screenshots ready if video playback also fails.</w:t>
      </w:r>
    </w:p>
    <w:p>
      <w:pPr>
        <w:pStyle w:val="Heading1"/>
        <w:pageBreakBefore/>
      </w:pPr>
      <w:r>
        <w:rPr>
          <w:rFonts w:ascii="Calibri" w:hAnsi="Calibri" w:eastAsia="Calibri"/>
          <w:b/>
        </w:rPr>
        <w:t>23. Risk Register — How We Could Lose This Competition</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800"/>
        <w:gridCol w:w="2500"/>
        <w:gridCol w:w="2500"/>
        <w:gridCol w:w="2560"/>
      </w:tblGrid>
      <w:tr>
        <w:trPr>
          <w:tblHeader w:val="true"/>
        </w:trPr>
        <w:tc>
          <w:tcPr>
            <w:tcW w:type="dxa" w:w="18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Risk</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Early warning signal</w:t>
            </w:r>
          </w:p>
        </w:tc>
        <w:tc>
          <w:tcPr>
            <w:tcW w:type="dxa" w:w="250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Mitigation</w:t>
            </w:r>
          </w:p>
        </w:tc>
        <w:tc>
          <w:tcPr>
            <w:tcW w:type="dxa" w:w="2560"/>
            <w:tcMar>
              <w:top w:w="80" w:type="dxa"/>
              <w:start w:w="120" w:type="dxa"/>
              <w:bottom w:w="80" w:type="dxa"/>
              <w:end w:w="120" w:type="dxa"/>
            </w:tcMar>
            <w:shd w:fill="E8EEF5" w:val="clear"/>
            <w:vAlign w:val="center"/>
          </w:tcPr>
          <w:p>
            <w:pPr>
              <w:spacing w:before="0" w:after="0" w:line="240" w:lineRule="auto"/>
            </w:pPr>
            <w:r>
              <w:rPr>
                <w:rFonts w:ascii="Calibri" w:hAnsi="Calibri" w:eastAsia="Calibri"/>
                <w:b/>
                <w:color w:val="0B2545"/>
                <w:sz w:val="16"/>
              </w:rPr>
              <w:t>Owner</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Weak problem evidence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Deck uses generic “fraud is huge” claims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Anchor to official modes, current integration policy, and JKN scale; say fraud loss is not established</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Generic AI solution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Readers summarize it as “AI fraud dashboard/chatbot”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Lead with claim-line evidence path, human action, and measurable hybrid-vs-rule proof</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M2</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Prior-solution overlap</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Proposal resembles PRO-CLAIM by name/function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Acknowledge public predecessor; differentiate evidence graph, provenance, non-generative core; ask organizer</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Unrealistic BPJS integration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Diagrams show live APIs/production deployment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Label published-schema compatibility and future authorized pilot; no connection claim</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M1</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Inaccessible data</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BPJS sample access stalls or lacks fields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Keep sample off critical path; use Synthea adapter/injections and disclose limitations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M2</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Synthetic overclaim</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Metrics appear without a synthetic label</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Watermark every result; include “demonstrates/does not” table; block national projections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Leakage inflates results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Near-perfect metrics or ID/order importance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Grouped splits, trivial leakage probe, hidden-manifest exclusion, manual error review</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M1</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Low differentiation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Pitch focuses on anomaly model</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Make evidence provenance, counter-evidence, and disposition the product core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M2</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AI is unnecessary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Hybrid does not beat rules-only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Remove ML and present appropriate rules-first engineering; keep similarity only if valuable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M1</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Poor evaluation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Only AUROC or one cherry-picked case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Frozen baselines, PR/precision@K, FP/100, per-mode results, latency, limitations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M1</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Feature bloat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More than four primary pages or inactive menus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Evidence-yield rule; one-in/one-out scope; Gate 5 clean path</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Weak UI</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Reviewer cannot find why a case is flagged</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Reason before score; Figma comprehension test; task-directed evidence path</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M2</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Privacy problem</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Real identifiers or raw text appear in logs/screens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Synthetic only, pseudonymous UI, redaction tests, minimization, no external LLM</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M1/M3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False accusation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UI says “fraudulent claim/hospital”</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Controlled vocabulary: risk, anomaly, evidence gap, human confirmation</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Clinical overreach</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Rules judge medical necessity or coding without expertise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Structural evidence only; expert-validation backlog; remove unsupported rule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Unverifiable claims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Slide value has no source/artifact</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Proposal claim ledger; criterion owner sign-off; delete unsupported numbers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Proposal story failure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Technology appears before problem/user</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Use 16-slide arc; rehearse 30-second/3-minute narrative</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Technical demo failure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Clean install/reset is unreliable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Docker/local-first, deterministic fixtures, health/reset scripts, recorded fallback</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M1</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Team bottleneck</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Member 2 waits for API or M3 waits for results</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Contract-first fixtures, parallel tracks, daily integration, explicit owners</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Scope explosion</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New mode/model added after 5 Sep</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Freeze four modes; require judging evidence and one-in/one-out removal</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Official-rule mistake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Disputed mode/category enters deck</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Avoid disputed “Kolusi &amp; Surat Fiktif”; final compliance matrix check</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M3</w:t>
            </w:r>
          </w:p>
        </w:tc>
      </w:tr>
      <w:tr>
        <w:trPr>
          <w:cantSplit/>
        </w:trPr>
        <w:tc>
          <w:tcPr>
            <w:tcW w:type="dxa" w:w="18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File/upload failure</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PDF &gt;10 MB or renders differently</w:t>
            </w:r>
          </w:p>
        </w:tc>
        <w:tc>
          <w:tcPr>
            <w:tcW w:type="dxa" w:w="250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Export and test by 16 Sep; compress images; upload on 18 Sep; save receipt</w:t>
            </w:r>
          </w:p>
        </w:tc>
        <w:tc>
          <w:tcPr>
            <w:tcW w:type="dxa" w:w="2560"/>
            <w:tcMar>
              <w:top w:w="80" w:type="dxa"/>
              <w:start w:w="120" w:type="dxa"/>
              <w:bottom w:w="80" w:type="dxa"/>
              <w:end w:w="120" w:type="dxa"/>
            </w:tcMar>
            <w:vAlign w:val="top"/>
          </w:tcPr>
          <w:p>
            <w:pPr>
              <w:spacing w:before="0" w:after="0" w:line="240" w:lineRule="auto"/>
            </w:pPr>
            <w:r>
              <w:rPr>
                <w:rFonts w:ascii="Calibri" w:hAnsi="Calibri" w:eastAsia="Calibri"/>
                <w:b w:val="0"/>
                <w:color w:val="0B2545"/>
                <w:sz w:val="16"/>
              </w:rPr>
              <w:t>M2/M3</w:t>
            </w:r>
          </w:p>
        </w:tc>
      </w:tr>
    </w:tbl>
    <w:p>
      <w:pPr>
        <w:spacing w:before="0" w:after="60"/>
      </w:pPr>
    </w:p>
    <w:p>
      <w:pPr>
        <w:pStyle w:val="Heading1"/>
        <w:pageBreakBefore/>
      </w:pPr>
      <w:r>
        <w:rPr>
          <w:rFonts w:ascii="Calibri" w:hAnsi="Calibri" w:eastAsia="Calibri"/>
          <w:b/>
        </w:rPr>
        <w:t>24. Final Submission Checklist</w:t>
      </w:r>
    </w:p>
    <w:p>
      <w:pPr>
        <w:pStyle w:val="Heading2"/>
      </w:pPr>
      <w:r>
        <w:rPr>
          <w:rFonts w:ascii="Calibri" w:hAnsi="Calibri" w:eastAsia="Calibri"/>
          <w:b/>
        </w:rPr>
        <w:t>Competition compliance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Registration confirmed; all identities accurate; team size 1–3; chair identified.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One official category: Efisiensi Risiko pada Fasilitas Kesehatan.</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One solution; selected modes all belong to facility category.</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Disputed category mode excluded.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Proposal submission completed by 19 September; internal upload on 18 September.</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PDF; 16 recommended slides; never above 20; file at or below 10 MB.</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All nine official proposal components and six judging dimensions mapped.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Originality, libraries, datasets, fonts, icons, and visual licenses documented.</w:t>
      </w:r>
    </w:p>
    <w:p>
      <w:pPr>
        <w:pStyle w:val="Heading2"/>
      </w:pPr>
      <w:r>
        <w:rPr>
          <w:rFonts w:ascii="Calibri" w:hAnsi="Calibri" w:eastAsia="Calibri"/>
          <w:b/>
        </w:rPr>
        <w:t>Evidence and claim quality</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Every factual claim has an official PDF, authoritative web, regulatory, or peer-reviewed source.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Webinar themes are labeled verbal strategic signals, not official categories.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Analysis and assumptions are visibly distinct from facts.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No national fraud prevalence/loss claim unless a reliable source is added.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No production BPJS/SATUSEHAT integration claim.</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Every result comes from a committed run artifact; no placeholder survives.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 xml:space="preserve">All synthetic tables/charts/screenshots say </w:t>
      </w:r>
      <w:r>
        <w:rPr>
          <w:rFonts w:ascii="Calibri" w:hAnsi="Calibri" w:eastAsia="Calibri"/>
          <w:b/>
          <w:sz w:val="21"/>
        </w:rPr>
        <w:t>SYNTHETIC PROTOTYPE DATA</w:t>
      </w:r>
      <w:r>
        <w:rPr>
          <w:rFonts w:ascii="Calibri" w:hAnsi="Calibri" w:eastAsia="Calibri"/>
          <w:b w:val="0"/>
          <w:sz w:val="21"/>
        </w:rPr>
        <w:t>.</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Results state what they demonstrate and do not demonstrate.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Prototype/MVP terminology is honest.</w:t>
      </w:r>
    </w:p>
    <w:p>
      <w:pPr>
        <w:pStyle w:val="Heading2"/>
      </w:pPr>
      <w:r>
        <w:rPr>
          <w:rFonts w:ascii="Calibri" w:hAnsi="Calibri" w:eastAsia="Calibri"/>
          <w:b/>
        </w:rPr>
        <w:t>Product and technical proof</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Clean local start, seed, screen, review, audit, and reset succeed.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At least three modes work end-to-end at Gate 4; four at Gate 6 or scope is transparently narrowed.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Every reason resolves to source resources/derived edges.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Human disposition requires a reason and logs a versioned event.</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Rules-only baseline and hybrid comparison are reproducible.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Leakage probes and grouped splits pass.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Error, empty, loading, partial, and stale-case states are handled.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No external service is required for the demo.</w:t>
      </w:r>
    </w:p>
    <w:p>
      <w:pPr>
        <w:pStyle w:val="Heading2"/>
      </w:pPr>
      <w:r>
        <w:rPr>
          <w:rFonts w:ascii="Calibri" w:hAnsi="Calibri" w:eastAsia="Calibri"/>
          <w:b/>
        </w:rPr>
        <w:t>Privacy/governance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No unauthorized real JKN participant data.</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IDs are pseudonymous and no names/NIK appear.</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Logs contain no raw health text.</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UI uses risk/anomaly language, not accusation.</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AI cannot reject, sanction, alter codes, or decide medical necessity.</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Counter-evidence and incomplete-bundle uncertainty are visible.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Data/model cards, audit design, prohibited use, and threat model exist.</w:t>
      </w:r>
    </w:p>
    <w:p>
      <w:pPr>
        <w:pStyle w:val="Heading2"/>
      </w:pPr>
      <w:r>
        <w:rPr>
          <w:rFonts w:ascii="Calibri" w:hAnsi="Calibri" w:eastAsia="Calibri"/>
          <w:b/>
        </w:rPr>
        <w:t>Deck and file QA</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Slide titles form a coherent story when read alone.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Fonts are embedded or safely substituted; no clipped text.</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Charts remain readable at presentation size and use consistent denominators.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URLs and citations are legible; all links checked.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File opens in two viewers and on a second machine if possible.</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File name is professional and versioned; final hash recorded.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Portal preview matches local PDF.</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Submission receipt/status and timestamp are saved.</w:t>
      </w:r>
    </w:p>
    <w:p>
      <w:pPr>
        <w:pStyle w:val="Heading2"/>
      </w:pPr>
      <w:r>
        <w:rPr>
          <w:rFonts w:ascii="Calibri" w:hAnsi="Calibri" w:eastAsia="Calibri"/>
          <w:b/>
        </w:rPr>
        <w:t>Later-stage readiness</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90-second and 3-minute demos rehearsed.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Release tag, recorded fallback, and screenshot fallback archived.</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Expert/organizer questions ready.</w:t>
      </w:r>
    </w:p>
    <w:p>
      <w:pPr>
        <w:pStyle w:val="Checklist"/>
        <w:keepLines/>
      </w:pPr>
      <w:r>
        <w:rPr>
          <w:rFonts w:ascii="Segoe UI Symbol" w:hAnsi="Segoe UI Symbol" w:eastAsia="Segoe UI Symbol"/>
          <w:color w:val="1F4D78"/>
          <w:sz w:val="21"/>
        </w:rPr>
        <w:t xml:space="preserve">☐  </w:t>
      </w:r>
      <w:r>
        <w:rPr>
          <w:rFonts w:ascii="Calibri" w:hAnsi="Calibri" w:eastAsia="Calibri"/>
          <w:b w:val="0"/>
          <w:sz w:val="21"/>
        </w:rPr>
        <w:t>Pilot metrics, data request, and architecture assumptions ready for coaching.</w:t>
      </w:r>
    </w:p>
    <w:p>
      <w:pPr>
        <w:pStyle w:val="Heading1"/>
        <w:pageBreakBefore/>
      </w:pPr>
      <w:r>
        <w:rPr>
          <w:rFonts w:ascii="Calibri" w:hAnsi="Calibri" w:eastAsia="Calibri"/>
          <w:b/>
        </w:rPr>
        <w:t>25. Questions Requiring Validation</w:t>
      </w:r>
    </w:p>
    <w:p>
      <w:pPr>
        <w:pStyle w:val="Heading2"/>
      </w:pPr>
      <w:r>
        <w:rPr>
          <w:rFonts w:ascii="Calibri" w:hAnsi="Calibri" w:eastAsia="Calibri"/>
          <w:b/>
        </w:rPr>
        <w:t>Ask organizers first</w:t>
      </w:r>
    </w:p>
    <w:p>
      <w:pPr>
        <w:keepLines/>
        <w:spacing w:after="80" w:line="300" w:lineRule="auto"/>
        <w:numPr>
          <w:ilvl w:val="0"/>
          <w:numId w:val="61"/>
        </w:numPr>
      </w:pPr>
      <w:r>
        <w:rPr>
          <w:rFonts w:ascii="Calibri" w:hAnsi="Calibri" w:eastAsia="Calibri"/>
          <w:b w:val="0"/>
          <w:sz w:val="21"/>
        </w:rPr>
        <w:t xml:space="preserve">Which category officially owns </w:t>
      </w:r>
      <w:r>
        <w:rPr>
          <w:rFonts w:ascii="Calibri" w:hAnsi="Calibri" w:eastAsia="Calibri"/>
          <w:b/>
          <w:sz w:val="21"/>
        </w:rPr>
        <w:t>“Kolusi &amp; Surat Fiktif”</w:t>
      </w:r>
      <w:r>
        <w:rPr>
          <w:rFonts w:ascii="Calibri" w:hAnsi="Calibri" w:eastAsia="Calibri"/>
          <w:b w:val="0"/>
          <w:sz w:val="21"/>
        </w:rPr>
        <w:t xml:space="preserve"> given the conflict between the two PDFs?</w:t>
      </w:r>
    </w:p>
    <w:p>
      <w:pPr>
        <w:keepLines/>
        <w:spacing w:after="80" w:line="300" w:lineRule="auto"/>
        <w:numPr>
          <w:ilvl w:val="0"/>
          <w:numId w:val="61"/>
        </w:numPr>
      </w:pPr>
      <w:r>
        <w:rPr>
          <w:rFonts w:ascii="Calibri" w:hAnsi="Calibri" w:eastAsia="Calibri"/>
          <w:b w:val="0"/>
          <w:sz w:val="21"/>
        </w:rPr>
        <w:t>Are the two “inflated bills” entries in the Participant Guide distinct or duplicated editorially?</w:t>
      </w:r>
    </w:p>
    <w:p>
      <w:pPr>
        <w:keepLines/>
        <w:spacing w:after="80" w:line="300" w:lineRule="auto"/>
        <w:numPr>
          <w:ilvl w:val="0"/>
          <w:numId w:val="61"/>
        </w:numPr>
      </w:pPr>
      <w:r>
        <w:rPr>
          <w:rFonts w:ascii="Calibri" w:hAnsi="Calibri" w:eastAsia="Calibri"/>
          <w:b w:val="0"/>
          <w:sz w:val="21"/>
        </w:rPr>
        <w:t>What is the exact submission closing time and time zone on 19 September?</w:t>
      </w:r>
    </w:p>
    <w:p>
      <w:pPr>
        <w:keepLines/>
        <w:spacing w:after="80" w:line="300" w:lineRule="auto"/>
        <w:numPr>
          <w:ilvl w:val="0"/>
          <w:numId w:val="61"/>
        </w:numPr>
      </w:pPr>
      <w:r>
        <w:rPr>
          <w:rFonts w:ascii="Calibri" w:hAnsi="Calibri" w:eastAsia="Calibri"/>
          <w:b w:val="0"/>
          <w:sz w:val="21"/>
        </w:rPr>
        <w:t>Are prototype links, videos, QR codes, appendices, or hidden backup slides allowed and evaluated?</w:t>
      </w:r>
    </w:p>
    <w:p>
      <w:pPr>
        <w:keepLines/>
        <w:spacing w:after="80" w:line="300" w:lineRule="auto"/>
        <w:numPr>
          <w:ilvl w:val="0"/>
          <w:numId w:val="61"/>
        </w:numPr>
      </w:pPr>
      <w:r>
        <w:rPr>
          <w:rFonts w:ascii="Calibri" w:hAnsi="Calibri" w:eastAsia="Calibri"/>
          <w:b w:val="0"/>
          <w:sz w:val="21"/>
        </w:rPr>
        <w:t>Does use of the BPJS public sample require separate written permission under the competition’s real-data restriction?</w:t>
      </w:r>
    </w:p>
    <w:p>
      <w:pPr>
        <w:keepLines/>
        <w:spacing w:after="80" w:line="300" w:lineRule="auto"/>
        <w:numPr>
          <w:ilvl w:val="0"/>
          <w:numId w:val="61"/>
        </w:numPr>
      </w:pPr>
      <w:r>
        <w:rPr>
          <w:rFonts w:ascii="Calibri" w:hAnsi="Calibri" w:eastAsia="Calibri"/>
          <w:b w:val="0"/>
          <w:sz w:val="21"/>
        </w:rPr>
        <w:t>Will selected teams receive authorized datasets, a sandbox, schema package, or API documentation later?</w:t>
      </w:r>
    </w:p>
    <w:p>
      <w:pPr>
        <w:keepLines/>
        <w:spacing w:after="80" w:line="300" w:lineRule="auto"/>
        <w:numPr>
          <w:ilvl w:val="0"/>
          <w:numId w:val="61"/>
        </w:numPr>
      </w:pPr>
      <w:r>
        <w:rPr>
          <w:rFonts w:ascii="Calibri" w:hAnsi="Calibri" w:eastAsia="Calibri"/>
          <w:b w:val="0"/>
          <w:sz w:val="21"/>
        </w:rPr>
        <w:t>Should facility-category proposals target pre-submission facility controls, BPJS pre-payment verification, or either?</w:t>
      </w:r>
    </w:p>
    <w:p>
      <w:pPr>
        <w:keepLines/>
        <w:spacing w:after="80" w:line="300" w:lineRule="auto"/>
        <w:numPr>
          <w:ilvl w:val="0"/>
          <w:numId w:val="61"/>
        </w:numPr>
      </w:pPr>
      <w:r>
        <w:rPr>
          <w:rFonts w:ascii="Calibri" w:hAnsi="Calibri" w:eastAsia="Calibri"/>
          <w:b w:val="0"/>
          <w:sz w:val="21"/>
        </w:rPr>
        <w:t>Which version/profile of SATUSEHAT Claim/RME Bundle should a prototype follow?</w:t>
      </w:r>
    </w:p>
    <w:p>
      <w:pPr>
        <w:keepLines/>
        <w:spacing w:after="80" w:line="300" w:lineRule="auto"/>
        <w:numPr>
          <w:ilvl w:val="0"/>
          <w:numId w:val="61"/>
        </w:numPr>
      </w:pPr>
      <w:r>
        <w:rPr>
          <w:rFonts w:ascii="Calibri" w:hAnsi="Calibri" w:eastAsia="Calibri"/>
          <w:b w:val="0"/>
          <w:sz w:val="21"/>
        </w:rPr>
        <w:t>Does originality assessment consider similarity to previous Healthkathon finalists, including PRO-CLAIM, and can high-level functional boundaries be clarified?</w:t>
      </w:r>
    </w:p>
    <w:p>
      <w:pPr>
        <w:keepLines/>
        <w:spacing w:after="80" w:line="300" w:lineRule="auto"/>
        <w:numPr>
          <w:ilvl w:val="0"/>
          <w:numId w:val="61"/>
        </w:numPr>
      </w:pPr>
      <w:r>
        <w:rPr>
          <w:rFonts w:ascii="Calibri" w:hAnsi="Calibri" w:eastAsia="Calibri"/>
          <w:b w:val="0"/>
          <w:sz w:val="21"/>
        </w:rPr>
        <w:t>What are the later-stage dates, judging format, demo duration, internet conditions, and required deliverables?</w:t>
      </w:r>
    </w:p>
    <w:p>
      <w:pPr>
        <w:keepLines/>
        <w:spacing w:after="80" w:line="300" w:lineRule="auto"/>
        <w:numPr>
          <w:ilvl w:val="0"/>
          <w:numId w:val="61"/>
        </w:numPr>
      </w:pPr>
      <w:r>
        <w:rPr>
          <w:rFonts w:ascii="Calibri" w:hAnsi="Calibri" w:eastAsia="Calibri"/>
          <w:b w:val="0"/>
          <w:sz w:val="21"/>
        </w:rPr>
        <w:t>Are official judging weights used internally even though none are published in the proposal guide?</w:t>
      </w:r>
    </w:p>
    <w:p>
      <w:pPr>
        <w:keepLines/>
        <w:spacing w:after="80" w:line="300" w:lineRule="auto"/>
        <w:numPr>
          <w:ilvl w:val="0"/>
          <w:numId w:val="61"/>
        </w:numPr>
      </w:pPr>
      <w:r>
        <w:rPr>
          <w:rFonts w:ascii="Calibri" w:hAnsi="Calibri" w:eastAsia="Calibri"/>
          <w:b w:val="0"/>
          <w:sz w:val="21"/>
        </w:rPr>
        <w:t>What IP/usage rights apply to 2026 submissions and prototypes? The supplied guide establishes originality but does not provide a complete IP-transfer framework.</w:t>
      </w:r>
    </w:p>
    <w:p>
      <w:pPr>
        <w:pStyle w:val="Heading2"/>
      </w:pPr>
      <w:r>
        <w:rPr>
          <w:rFonts w:ascii="Calibri" w:hAnsi="Calibri" w:eastAsia="Calibri"/>
          <w:b/>
        </w:rPr>
        <w:t>Ask BPJS/facility/coaches when access exists</w:t>
      </w:r>
    </w:p>
    <w:p>
      <w:pPr>
        <w:keepLines/>
        <w:spacing w:after="80" w:line="300" w:lineRule="auto"/>
        <w:numPr>
          <w:ilvl w:val="0"/>
          <w:numId w:val="62"/>
        </w:numPr>
      </w:pPr>
      <w:r>
        <w:rPr>
          <w:rFonts w:ascii="Calibri" w:hAnsi="Calibri" w:eastAsia="Calibri"/>
          <w:b w:val="0"/>
          <w:sz w:val="21"/>
        </w:rPr>
        <w:t>Who performs the first substantive check before a claim is submitted, and what systems/screens do they use?</w:t>
      </w:r>
    </w:p>
    <w:p>
      <w:pPr>
        <w:keepLines/>
        <w:spacing w:after="80" w:line="300" w:lineRule="auto"/>
        <w:numPr>
          <w:ilvl w:val="0"/>
          <w:numId w:val="62"/>
        </w:numPr>
      </w:pPr>
      <w:r>
        <w:rPr>
          <w:rFonts w:ascii="Calibri" w:hAnsi="Calibri" w:eastAsia="Calibri"/>
          <w:b w:val="0"/>
          <w:sz w:val="21"/>
        </w:rPr>
        <w:t>What are the top five reasons claims are pending, corrected, or escalated, by volume and effort?</w:t>
      </w:r>
    </w:p>
    <w:p>
      <w:pPr>
        <w:keepLines/>
        <w:spacing w:after="80" w:line="300" w:lineRule="auto"/>
        <w:numPr>
          <w:ilvl w:val="0"/>
          <w:numId w:val="62"/>
        </w:numPr>
      </w:pPr>
      <w:r>
        <w:rPr>
          <w:rFonts w:ascii="Calibri" w:hAnsi="Calibri" w:eastAsia="Calibri"/>
          <w:b w:val="0"/>
          <w:sz w:val="21"/>
        </w:rPr>
        <w:t>Which selected risk modes are most valuable to detect before submission versus after submission?</w:t>
      </w:r>
    </w:p>
    <w:p>
      <w:pPr>
        <w:keepLines/>
        <w:spacing w:after="80" w:line="300" w:lineRule="auto"/>
        <w:numPr>
          <w:ilvl w:val="0"/>
          <w:numId w:val="62"/>
        </w:numPr>
      </w:pPr>
      <w:r>
        <w:rPr>
          <w:rFonts w:ascii="Calibri" w:hAnsi="Calibri" w:eastAsia="Calibri"/>
          <w:b w:val="0"/>
          <w:sz w:val="21"/>
        </w:rPr>
        <w:t>Which Claim/RME resources and link fields are reliably populated today, and where is missingness common?</w:t>
      </w:r>
    </w:p>
    <w:p>
      <w:pPr>
        <w:keepLines/>
        <w:spacing w:after="80" w:line="300" w:lineRule="auto"/>
        <w:numPr>
          <w:ilvl w:val="0"/>
          <w:numId w:val="62"/>
        </w:numPr>
      </w:pPr>
      <w:r>
        <w:rPr>
          <w:rFonts w:ascii="Calibri" w:hAnsi="Calibri" w:eastAsia="Calibri"/>
          <w:b w:val="0"/>
          <w:sz w:val="21"/>
        </w:rPr>
        <w:t>How are legitimate incomplete records, templated notes, follow-ups, and split episodes distinguished from risk?</w:t>
      </w:r>
    </w:p>
    <w:p>
      <w:pPr>
        <w:keepLines/>
        <w:spacing w:after="80" w:line="300" w:lineRule="auto"/>
        <w:numPr>
          <w:ilvl w:val="0"/>
          <w:numId w:val="62"/>
        </w:numPr>
      </w:pPr>
      <w:r>
        <w:rPr>
          <w:rFonts w:ascii="Calibri" w:hAnsi="Calibri" w:eastAsia="Calibri"/>
          <w:b w:val="0"/>
          <w:sz w:val="21"/>
        </w:rPr>
        <w:t>What is an acceptable false-positive rate and review budget for each role?</w:t>
      </w:r>
    </w:p>
    <w:p>
      <w:pPr>
        <w:keepLines/>
        <w:spacing w:after="80" w:line="300" w:lineRule="auto"/>
        <w:numPr>
          <w:ilvl w:val="0"/>
          <w:numId w:val="62"/>
        </w:numPr>
      </w:pPr>
      <w:r>
        <w:rPr>
          <w:rFonts w:ascii="Calibri" w:hAnsi="Calibri" w:eastAsia="Calibri"/>
          <w:b w:val="0"/>
          <w:sz w:val="21"/>
        </w:rPr>
        <w:t>What reviewer dispositions, evidence requests, escalation steps, and appeal/correction mechanisms exist?</w:t>
      </w:r>
    </w:p>
    <w:p>
      <w:pPr>
        <w:keepLines/>
        <w:spacing w:after="80" w:line="300" w:lineRule="auto"/>
        <w:numPr>
          <w:ilvl w:val="0"/>
          <w:numId w:val="62"/>
        </w:numPr>
      </w:pPr>
      <w:r>
        <w:rPr>
          <w:rFonts w:ascii="Calibri" w:hAnsi="Calibri" w:eastAsia="Calibri"/>
          <w:b w:val="0"/>
          <w:sz w:val="21"/>
        </w:rPr>
        <w:t>Which evidence must be visible for a verifier to trust and act on a signal?</w:t>
      </w:r>
    </w:p>
    <w:p>
      <w:pPr>
        <w:keepLines/>
        <w:spacing w:after="80" w:line="300" w:lineRule="auto"/>
        <w:numPr>
          <w:ilvl w:val="0"/>
          <w:numId w:val="62"/>
        </w:numPr>
      </w:pPr>
      <w:r>
        <w:rPr>
          <w:rFonts w:ascii="Calibri" w:hAnsi="Calibri" w:eastAsia="Calibri"/>
          <w:b w:val="0"/>
          <w:sz w:val="21"/>
        </w:rPr>
        <w:t>Which codes/crosswalks and clinical/coding guidelines may be used and redistributed?</w:t>
      </w:r>
    </w:p>
    <w:p>
      <w:pPr>
        <w:keepLines/>
        <w:spacing w:after="80" w:line="300" w:lineRule="auto"/>
        <w:numPr>
          <w:ilvl w:val="0"/>
          <w:numId w:val="62"/>
        </w:numPr>
      </w:pPr>
      <w:r>
        <w:rPr>
          <w:rFonts w:ascii="Calibri" w:hAnsi="Calibri" w:eastAsia="Calibri"/>
          <w:b w:val="0"/>
          <w:sz w:val="21"/>
        </w:rPr>
        <w:t>Are current automated flags explainable to users, and where would an evidence layer complement rather than duplicate them?</w:t>
      </w:r>
    </w:p>
    <w:p>
      <w:pPr>
        <w:keepLines/>
        <w:spacing w:after="80" w:line="300" w:lineRule="auto"/>
        <w:numPr>
          <w:ilvl w:val="0"/>
          <w:numId w:val="62"/>
        </w:numPr>
      </w:pPr>
      <w:r>
        <w:rPr>
          <w:rFonts w:ascii="Calibri" w:hAnsi="Calibri" w:eastAsia="Calibri"/>
          <w:b w:val="0"/>
          <w:sz w:val="21"/>
        </w:rPr>
        <w:t>What audit, retention, access-control, data-residency, and incident requirements would apply?</w:t>
      </w:r>
    </w:p>
    <w:p>
      <w:pPr>
        <w:keepLines/>
        <w:spacing w:after="80" w:line="300" w:lineRule="auto"/>
        <w:numPr>
          <w:ilvl w:val="0"/>
          <w:numId w:val="62"/>
        </w:numPr>
      </w:pPr>
      <w:r>
        <w:rPr>
          <w:rFonts w:ascii="Calibri" w:hAnsi="Calibri" w:eastAsia="Calibri"/>
          <w:b w:val="0"/>
          <w:sz w:val="21"/>
        </w:rPr>
        <w:t>Which facility types, regions, or service lines should a pilot include to test representativeness and fairness?</w:t>
      </w:r>
    </w:p>
    <w:p>
      <w:pPr>
        <w:keepLines/>
        <w:spacing w:after="80" w:line="300" w:lineRule="auto"/>
        <w:numPr>
          <w:ilvl w:val="0"/>
          <w:numId w:val="62"/>
        </w:numPr>
      </w:pPr>
      <w:r>
        <w:rPr>
          <w:rFonts w:ascii="Calibri" w:hAnsi="Calibri" w:eastAsia="Calibri"/>
          <w:b w:val="0"/>
          <w:sz w:val="21"/>
        </w:rPr>
        <w:t>What outcome would constitute pilot success: fewer pending claims, faster review, improved confirmed-risk yield, reduced rework, or another metric?</w:t>
      </w:r>
    </w:p>
    <w:p>
      <w:pPr>
        <w:pStyle w:val="Heading2"/>
      </w:pPr>
      <w:r>
        <w:rPr>
          <w:rFonts w:ascii="Calibri" w:hAnsi="Calibri" w:eastAsia="Calibri"/>
          <w:b/>
        </w:rPr>
        <w:t>Assumptions that remain unvalidated</w:t>
      </w:r>
    </w:p>
    <w:p>
      <w:pPr>
        <w:keepLines/>
        <w:spacing w:after="80" w:line="300" w:lineRule="auto"/>
        <w:numPr>
          <w:ilvl w:val="0"/>
          <w:numId w:val="63"/>
        </w:numPr>
      </w:pPr>
      <w:r>
        <w:rPr>
          <w:rFonts w:ascii="Calibri" w:hAnsi="Calibri" w:eastAsia="Calibri"/>
          <w:b w:val="0"/>
          <w:sz w:val="21"/>
        </w:rPr>
        <w:t>Pre-submission hospital casemix review is an accepted target workflow.</w:t>
      </w:r>
    </w:p>
    <w:p>
      <w:pPr>
        <w:keepLines/>
        <w:spacing w:after="80" w:line="300" w:lineRule="auto"/>
        <w:numPr>
          <w:ilvl w:val="0"/>
          <w:numId w:val="63"/>
        </w:numPr>
      </w:pPr>
      <w:r>
        <w:rPr>
          <w:rFonts w:ascii="Calibri" w:hAnsi="Calibri" w:eastAsia="Calibri"/>
          <w:b w:val="0"/>
          <w:sz w:val="21"/>
        </w:rPr>
        <w:t>The four selected modes can be represented with available electronic evidence.</w:t>
      </w:r>
    </w:p>
    <w:p>
      <w:pPr>
        <w:keepLines/>
        <w:spacing w:after="80" w:line="300" w:lineRule="auto"/>
        <w:numPr>
          <w:ilvl w:val="0"/>
          <w:numId w:val="63"/>
        </w:numPr>
      </w:pPr>
      <w:r>
        <w:rPr>
          <w:rFonts w:ascii="Calibri" w:hAnsi="Calibri" w:eastAsia="Calibri"/>
          <w:b w:val="0"/>
          <w:sz w:val="21"/>
        </w:rPr>
        <w:t>Published resource relationships approximate competition expectations.</w:t>
      </w:r>
    </w:p>
    <w:p>
      <w:pPr>
        <w:keepLines/>
        <w:spacing w:after="80" w:line="300" w:lineRule="auto"/>
        <w:numPr>
          <w:ilvl w:val="0"/>
          <w:numId w:val="63"/>
        </w:numPr>
      </w:pPr>
      <w:r>
        <w:rPr>
          <w:rFonts w:ascii="Calibri" w:hAnsi="Calibri" w:eastAsia="Calibri"/>
          <w:b w:val="0"/>
          <w:sz w:val="21"/>
        </w:rPr>
        <w:t>Synthetic injections are acceptable proposal evidence when fully disclosed.</w:t>
      </w:r>
    </w:p>
    <w:p>
      <w:pPr>
        <w:keepLines/>
        <w:spacing w:after="80" w:line="300" w:lineRule="auto"/>
        <w:numPr>
          <w:ilvl w:val="0"/>
          <w:numId w:val="63"/>
        </w:numPr>
      </w:pPr>
      <w:r>
        <w:rPr>
          <w:rFonts w:ascii="Calibri" w:hAnsi="Calibri" w:eastAsia="Calibri"/>
          <w:b w:val="0"/>
          <w:sz w:val="21"/>
        </w:rPr>
        <w:t>Evidence traceability is a meaningful current pain beyond existing tools.</w:t>
      </w:r>
    </w:p>
    <w:p>
      <w:pPr>
        <w:keepLines/>
        <w:spacing w:after="80" w:line="300" w:lineRule="auto"/>
        <w:numPr>
          <w:ilvl w:val="0"/>
          <w:numId w:val="63"/>
        </w:numPr>
      </w:pPr>
      <w:r>
        <w:rPr>
          <w:rFonts w:ascii="Calibri" w:hAnsi="Calibri" w:eastAsia="Calibri"/>
          <w:b w:val="0"/>
          <w:sz w:val="21"/>
        </w:rPr>
        <w:t>Reviewers can act on the four proposed dispositions.</w:t>
      </w:r>
    </w:p>
    <w:p>
      <w:pPr>
        <w:keepLines/>
        <w:spacing w:after="80" w:line="300" w:lineRule="auto"/>
        <w:numPr>
          <w:ilvl w:val="0"/>
          <w:numId w:val="63"/>
        </w:numPr>
      </w:pPr>
      <w:r>
        <w:rPr>
          <w:rFonts w:ascii="Calibri" w:hAnsi="Calibri" w:eastAsia="Calibri"/>
          <w:b w:val="0"/>
          <w:sz w:val="21"/>
        </w:rPr>
        <w:t>A rule-plus-similarity/anomaly hybrid improves prioritization at an acceptable false-positive rate.</w:t>
      </w:r>
    </w:p>
    <w:p>
      <w:pPr>
        <w:keepLines/>
        <w:spacing w:after="80" w:line="300" w:lineRule="auto"/>
        <w:numPr>
          <w:ilvl w:val="0"/>
          <w:numId w:val="63"/>
        </w:numPr>
      </w:pPr>
      <w:r>
        <w:rPr>
          <w:rFonts w:ascii="Calibri" w:hAnsi="Calibri" w:eastAsia="Calibri"/>
          <w:b w:val="0"/>
          <w:sz w:val="21"/>
        </w:rPr>
        <w:t>A standards-shaped sidecar architecture is a plausible future integration pattern.</w:t>
      </w:r>
    </w:p>
    <w:p>
      <w:pPr>
        <w:pStyle w:val="Heading1"/>
        <w:pageBreakBefore/>
      </w:pPr>
      <w:r>
        <w:rPr>
          <w:rFonts w:ascii="Calibri" w:hAnsi="Calibri" w:eastAsia="Calibri"/>
          <w:b/>
        </w:rPr>
        <w:t>26. Sources</w:t>
      </w:r>
    </w:p>
    <w:p>
      <w:pPr>
        <w:pStyle w:val="Heading2"/>
      </w:pPr>
      <w:r>
        <w:rPr>
          <w:rFonts w:ascii="Calibri" w:hAnsi="Calibri" w:eastAsia="Calibri"/>
          <w:b/>
        </w:rPr>
        <w:t>Official competition documents — source of truth</w:t>
      </w:r>
    </w:p>
    <w:p>
      <w:pPr>
        <w:keepLines/>
        <w:spacing w:after="80" w:line="300" w:lineRule="auto"/>
        <w:numPr>
          <w:ilvl w:val="0"/>
          <w:numId w:val="64"/>
        </w:numPr>
      </w:pPr>
      <w:r>
        <w:rPr>
          <w:rFonts w:ascii="Calibri" w:hAnsi="Calibri" w:eastAsia="Calibri"/>
          <w:b/>
          <w:sz w:val="21"/>
        </w:rPr>
        <w:t>[PDF-PG]</w:t>
      </w:r>
      <w:r>
        <w:rPr>
          <w:rFonts w:ascii="Calibri" w:hAnsi="Calibri" w:eastAsia="Calibri"/>
          <w:b w:val="0"/>
          <w:sz w:val="21"/>
        </w:rPr>
        <w:t xml:space="preserve"> *Participant Guide Healthkathon 2026*, supplied official PDF, 9 pages. Relevant: objective/theme/challenge pp. 2–3; eligibility/rules pp. 4–5; detailed categories pp. 6–7; stages/timeline p. 8; disqualification p. 9.</w:t>
      </w:r>
    </w:p>
    <w:p>
      <w:pPr>
        <w:keepLines/>
        <w:spacing w:after="80" w:line="300" w:lineRule="auto"/>
        <w:numPr>
          <w:ilvl w:val="0"/>
          <w:numId w:val="64"/>
        </w:numPr>
      </w:pPr>
      <w:r>
        <w:rPr>
          <w:rFonts w:ascii="Calibri" w:hAnsi="Calibri" w:eastAsia="Calibri"/>
          <w:b/>
          <w:sz w:val="21"/>
        </w:rPr>
        <w:t>[PDF-PP]</w:t>
      </w:r>
      <w:r>
        <w:rPr>
          <w:rFonts w:ascii="Calibri" w:hAnsi="Calibri" w:eastAsia="Calibri"/>
          <w:b w:val="0"/>
          <w:sz w:val="21"/>
        </w:rPr>
        <w:t xml:space="preserve"> *Panduan Pembuatan Proposal Peserta Healthkathon 2026*, supplied official PDF, 14 pages. Relevant: format/constraints p. 2; six criteria p. 3; category references pp. 4–5; required proposal components pp. 6–14.</w:t>
      </w:r>
    </w:p>
    <w:p>
      <w:pPr>
        <w:pStyle w:val="Heading2"/>
      </w:pPr>
      <w:r>
        <w:rPr>
          <w:rFonts w:ascii="Calibri" w:hAnsi="Calibri" w:eastAsia="Calibri"/>
          <w:b/>
        </w:rPr>
        <w:t>Tier 1 — official government, BPJS, and public institutions</w:t>
      </w:r>
    </w:p>
    <w:p>
      <w:pPr>
        <w:keepLines/>
        <w:spacing w:after="80" w:line="300" w:lineRule="auto"/>
        <w:numPr>
          <w:ilvl w:val="0"/>
          <w:numId w:val="65"/>
        </w:numPr>
      </w:pPr>
      <w:r>
        <w:rPr>
          <w:rFonts w:ascii="Calibri" w:hAnsi="Calibri" w:eastAsia="Calibri"/>
          <w:b/>
          <w:sz w:val="21"/>
        </w:rPr>
        <w:t>[E01]</w:t>
      </w:r>
      <w:r>
        <w:rPr>
          <w:rFonts w:ascii="Calibri" w:hAnsi="Calibri" w:eastAsia="Calibri"/>
          <w:b w:val="0"/>
          <w:sz w:val="21"/>
        </w:rPr>
        <w:t xml:space="preserve"> Kementerian Kesehatan RI, 30 July 2026. </w:t>
      </w:r>
      <w:hyperlink r:id="rId13">
        <w:r>
          <w:rPr>
            <w:color w:val="2E74B5"/>
            <w:u w:val="single"/>
            <w:rFonts w:ascii="Calibri" w:hAnsi="Calibri" w:eastAsia="Calibri"/>
            <w:sz w:val="21"/>
            <w:szCs w:val="21"/>
          </w:rPr>
          <w:t>Kemenkes Perkuat Tata Kelola Klaim JKN melalui Integrasi Rekam Medis Elektronik dengan SATUSEHAT</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[E02]</w:t>
      </w:r>
      <w:r>
        <w:rPr>
          <w:rFonts w:ascii="Calibri" w:hAnsi="Calibri" w:eastAsia="Calibri"/>
          <w:b w:val="0"/>
          <w:sz w:val="21"/>
        </w:rPr>
        <w:t xml:space="preserve"> SATUSEHAT Platform. </w:t>
      </w:r>
      <w:hyperlink r:id="rId14">
        <w:r>
          <w:rPr>
            <w:color w:val="2E74B5"/>
            <w:u w:val="single"/>
            <w:rFonts w:ascii="Calibri" w:hAnsi="Calibri" w:eastAsia="Calibri"/>
            <w:sz w:val="21"/>
            <w:szCs w:val="21"/>
          </w:rPr>
          <w:t>Interoperabilitas Klaim BPJS</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[E03]</w:t>
      </w:r>
      <w:r>
        <w:rPr>
          <w:rFonts w:ascii="Calibri" w:hAnsi="Calibri" w:eastAsia="Calibri"/>
          <w:b w:val="0"/>
          <w:sz w:val="21"/>
        </w:rPr>
        <w:t xml:space="preserve"> SATUSEHAT Platform. </w:t>
      </w:r>
      <w:hyperlink r:id="rId15">
        <w:r>
          <w:rPr>
            <w:color w:val="2E74B5"/>
            <w:u w:val="single"/>
            <w:rFonts w:ascii="Calibri" w:hAnsi="Calibri" w:eastAsia="Calibri"/>
            <w:sz w:val="21"/>
            <w:szCs w:val="21"/>
          </w:rPr>
          <w:t>PurificationDecision FHIR Resource</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[E04]</w:t>
      </w:r>
      <w:r>
        <w:rPr>
          <w:rFonts w:ascii="Calibri" w:hAnsi="Calibri" w:eastAsia="Calibri"/>
          <w:b w:val="0"/>
          <w:sz w:val="21"/>
        </w:rPr>
        <w:t xml:space="preserve"> SATUSEHAT Platform. </w:t>
      </w:r>
      <w:hyperlink r:id="rId16">
        <w:r>
          <w:rPr>
            <w:color w:val="2E74B5"/>
            <w:u w:val="single"/>
            <w:rFonts w:ascii="Calibri" w:hAnsi="Calibri" w:eastAsia="Calibri"/>
            <w:sz w:val="21"/>
            <w:szCs w:val="21"/>
          </w:rPr>
          <w:t>Interoperabilitas RME Rawat Jalan</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[E05]</w:t>
      </w:r>
      <w:r>
        <w:rPr>
          <w:rFonts w:ascii="Calibri" w:hAnsi="Calibri" w:eastAsia="Calibri"/>
          <w:b w:val="0"/>
          <w:sz w:val="21"/>
        </w:rPr>
        <w:t xml:space="preserve"> Badan Kebijakan Pembangunan Kesehatan, 28 October 2025. </w:t>
      </w:r>
      <w:hyperlink r:id="rId17">
        <w:r>
          <w:rPr>
            <w:color w:val="2E74B5"/>
            <w:u w:val="single"/>
            <w:rFonts w:ascii="Calibri" w:hAnsi="Calibri" w:eastAsia="Calibri"/>
            <w:sz w:val="21"/>
            <w:szCs w:val="21"/>
          </w:rPr>
          <w:t>Wajib Integrasi SATUSEHAT, Kemenkes Desak Percepatan RME di Fasyankes</w:t>
        </w:r>
      </w:hyperlink>
      <w:r>
        <w:rPr>
          <w:rFonts w:ascii="Calibri" w:hAnsi="Calibri" w:eastAsia="Calibri"/>
          <w:b w:val="0"/>
          <w:sz w:val="21"/>
        </w:rPr>
        <w:t>. Note: cite the official Permenkes 24/2022 separately because the article appears to mistype the year/number.</w:t>
      </w:r>
    </w:p>
    <w:p>
      <w:pPr>
        <w:keepLines/>
        <w:spacing w:after="80" w:line="300" w:lineRule="auto"/>
        <w:numPr>
          <w:ilvl w:val="0"/>
          <w:numId w:val="65"/>
        </w:numPr>
      </w:pPr>
      <w:r>
        <w:rPr>
          <w:rFonts w:ascii="Calibri" w:hAnsi="Calibri" w:eastAsia="Calibri"/>
          <w:b/>
          <w:sz w:val="21"/>
        </w:rPr>
        <w:t>[E06]</w:t>
      </w:r>
      <w:r>
        <w:rPr>
          <w:rFonts w:ascii="Calibri" w:hAnsi="Calibri" w:eastAsia="Calibri"/>
          <w:b w:val="0"/>
          <w:sz w:val="21"/>
        </w:rPr>
        <w:t xml:space="preserve"> Dewan Jaminan Sosial Nasional, November 2025. </w:t>
      </w:r>
      <w:hyperlink r:id="rId18">
        <w:r>
          <w:rPr>
            <w:color w:val="2E74B5"/>
            <w:u w:val="single"/>
            <w:rFonts w:ascii="Calibri" w:hAnsi="Calibri" w:eastAsia="Calibri"/>
            <w:sz w:val="21"/>
            <w:szCs w:val="21"/>
          </w:rPr>
          <w:t>Laporan Monitoring Program JKN per 30 November 2025</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[E07]</w:t>
      </w:r>
      <w:r>
        <w:rPr>
          <w:rFonts w:ascii="Calibri" w:hAnsi="Calibri" w:eastAsia="Calibri"/>
          <w:b w:val="0"/>
          <w:sz w:val="21"/>
        </w:rPr>
        <w:t xml:space="preserve"> BPJS Kesehatan. </w:t>
      </w:r>
      <w:hyperlink r:id="rId19">
        <w:r>
          <w:rPr>
            <w:color w:val="2E74B5"/>
            <w:u w:val="single"/>
            <w:rFonts w:ascii="Calibri" w:hAnsi="Calibri" w:eastAsia="Calibri"/>
            <w:sz w:val="21"/>
            <w:szCs w:val="21"/>
          </w:rPr>
          <w:t>Official BPJS Kesehatan website</w:t>
        </w:r>
      </w:hyperlink>
      <w:r>
        <w:rPr>
          <w:rFonts w:ascii="Calibri" w:hAnsi="Calibri" w:eastAsia="Calibri"/>
          <w:b w:val="0"/>
          <w:sz w:val="21"/>
        </w:rPr>
        <w:t xml:space="preserve"> — participant count displayed as of 31 July 2026 when accessed 29 August 2026.</w:t>
      </w:r>
    </w:p>
    <w:p>
      <w:pPr>
        <w:keepLines/>
        <w:spacing w:after="80" w:line="300" w:lineRule="auto"/>
        <w:numPr>
          <w:ilvl w:val="0"/>
          <w:numId w:val="65"/>
        </w:numPr>
      </w:pPr>
      <w:r>
        <w:rPr>
          <w:rFonts w:ascii="Calibri" w:hAnsi="Calibri" w:eastAsia="Calibri"/>
          <w:b/>
          <w:sz w:val="21"/>
        </w:rPr>
        <w:t>[E08]</w:t>
      </w:r>
      <w:r>
        <w:rPr>
          <w:rFonts w:ascii="Calibri" w:hAnsi="Calibri" w:eastAsia="Calibri"/>
          <w:b w:val="0"/>
          <w:sz w:val="21"/>
        </w:rPr>
        <w:t xml:space="preserve"> Komisi Pemberantasan Korupsi, 19 September 2024. </w:t>
      </w:r>
      <w:hyperlink r:id="rId20">
        <w:r>
          <w:rPr>
            <w:color w:val="2E74B5"/>
            <w:u w:val="single"/>
            <w:rFonts w:ascii="Calibri" w:hAnsi="Calibri" w:eastAsia="Calibri"/>
            <w:sz w:val="21"/>
            <w:szCs w:val="21"/>
          </w:rPr>
          <w:t>Sinergi KPK–BPJS Kesehatan Kawal Layanan Kesehatan Anti-Fraud</w:t>
        </w:r>
      </w:hyperlink>
      <w:r>
        <w:rPr>
          <w:rFonts w:ascii="Calibri" w:hAnsi="Calibri" w:eastAsia="Calibri"/>
          <w:b w:val="0"/>
          <w:sz w:val="21"/>
        </w:rPr>
        <w:t>. Note: the article appears to mistype the anti-fraud regulation; use Permenkes 16/2019 as the authoritative regulation.</w:t>
      </w:r>
    </w:p>
    <w:p>
      <w:pPr>
        <w:keepLines/>
        <w:spacing w:after="80" w:line="300" w:lineRule="auto"/>
        <w:numPr>
          <w:ilvl w:val="0"/>
          <w:numId w:val="65"/>
        </w:numPr>
      </w:pPr>
      <w:r>
        <w:rPr>
          <w:rFonts w:ascii="Calibri" w:hAnsi="Calibri" w:eastAsia="Calibri"/>
          <w:b/>
          <w:sz w:val="21"/>
        </w:rPr>
        <w:t>[E09]</w:t>
      </w:r>
      <w:r>
        <w:rPr>
          <w:rFonts w:ascii="Calibri" w:hAnsi="Calibri" w:eastAsia="Calibri"/>
          <w:b w:val="0"/>
          <w:sz w:val="21"/>
        </w:rPr>
        <w:t xml:space="preserve"> BPJS Kesehatan Data Portal. </w:t>
      </w:r>
      <w:hyperlink r:id="rId21">
        <w:r>
          <w:rPr>
            <w:color w:val="2E74B5"/>
            <w:u w:val="single"/>
            <w:rFonts w:ascii="Calibri" w:hAnsi="Calibri" w:eastAsia="Calibri"/>
            <w:sz w:val="21"/>
            <w:szCs w:val="21"/>
          </w:rPr>
          <w:t>Dataset landing page</w:t>
        </w:r>
      </w:hyperlink>
      <w:r>
        <w:rPr>
          <w:rFonts w:ascii="Calibri" w:hAnsi="Calibri" w:eastAsia="Calibri"/>
          <w:b w:val="0"/>
          <w:sz w:val="21"/>
        </w:rPr>
        <w:t xml:space="preserve"> and </w:t>
      </w:r>
      <w:hyperlink r:id="rId22">
        <w:r>
          <w:rPr>
            <w:color w:val="2E74B5"/>
            <w:u w:val="single"/>
            <w:rFonts w:ascii="Calibri" w:hAnsi="Calibri" w:eastAsia="Calibri"/>
            <w:sz w:val="21"/>
            <w:szCs w:val="21"/>
          </w:rPr>
          <w:t>portal</w:t>
        </w:r>
      </w:hyperlink>
      <w:r>
        <w:rPr>
          <w:rFonts w:ascii="Calibri" w:hAnsi="Calibri" w:eastAsia="Calibri"/>
          <w:b w:val="0"/>
          <w:sz w:val="21"/>
        </w:rPr>
        <w:t>. Confirm access terms and current codebook before use.</w:t>
      </w:r>
    </w:p>
    <w:p>
      <w:pPr>
        <w:keepLines/>
        <w:spacing w:after="80" w:line="300" w:lineRule="auto"/>
        <w:numPr>
          <w:ilvl w:val="0"/>
          <w:numId w:val="65"/>
        </w:numPr>
      </w:pPr>
      <w:r>
        <w:rPr>
          <w:rFonts w:ascii="Calibri" w:hAnsi="Calibri" w:eastAsia="Calibri"/>
          <w:b/>
          <w:sz w:val="21"/>
        </w:rPr>
        <w:t>[E12]</w:t>
      </w:r>
      <w:r>
        <w:rPr>
          <w:rFonts w:ascii="Calibri" w:hAnsi="Calibri" w:eastAsia="Calibri"/>
          <w:b w:val="0"/>
          <w:sz w:val="21"/>
        </w:rPr>
        <w:t xml:space="preserve"> BPK Database Peraturan. </w:t>
      </w:r>
      <w:hyperlink r:id="rId23">
        <w:r>
          <w:rPr>
            <w:color w:val="2E74B5"/>
            <w:u w:val="single"/>
            <w:rFonts w:ascii="Calibri" w:hAnsi="Calibri" w:eastAsia="Calibri"/>
            <w:sz w:val="21"/>
            <w:szCs w:val="21"/>
          </w:rPr>
          <w:t>UU Nomor 27 Tahun 2022 tentang Pelindungan Data Pribadi</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[E14]</w:t>
      </w:r>
      <w:r>
        <w:rPr>
          <w:rFonts w:ascii="Calibri" w:hAnsi="Calibri" w:eastAsia="Calibri"/>
          <w:b w:val="0"/>
          <w:sz w:val="21"/>
        </w:rPr>
        <w:t xml:space="preserve"> BPJS Kesehatan Data Portal commentary. </w:t>
      </w:r>
      <w:hyperlink r:id="rId24">
        <w:r>
          <w:rPr>
            <w:color w:val="2E74B5"/>
            <w:u w:val="single"/>
            <w:rFonts w:ascii="Calibri" w:hAnsi="Calibri" w:eastAsia="Calibri"/>
            <w:sz w:val="21"/>
            <w:szCs w:val="21"/>
          </w:rPr>
          <w:t>Data dan Teknologi dalam Deteksi Kecurangan JKN</w:t>
        </w:r>
      </w:hyperlink>
      <w:r>
        <w:rPr>
          <w:rFonts w:ascii="Calibri" w:hAnsi="Calibri" w:eastAsia="Calibri"/>
          <w:b w:val="0"/>
          <w:sz w:val="21"/>
        </w:rPr>
        <w:t>. The page carries a disclaimer and is used only to avoid assuming no existing controls.</w:t>
      </w:r>
    </w:p>
    <w:p>
      <w:pPr>
        <w:keepLines/>
        <w:spacing w:after="80" w:line="300" w:lineRule="auto"/>
        <w:numPr>
          <w:ilvl w:val="0"/>
          <w:numId w:val="65"/>
        </w:numPr>
      </w:pPr>
      <w:r>
        <w:rPr>
          <w:rFonts w:ascii="Calibri" w:hAnsi="Calibri" w:eastAsia="Calibri"/>
          <w:b/>
          <w:sz w:val="21"/>
        </w:rPr>
        <w:t>[E15]</w:t>
      </w:r>
      <w:r>
        <w:rPr>
          <w:rFonts w:ascii="Calibri" w:hAnsi="Calibri" w:eastAsia="Calibri"/>
          <w:b w:val="0"/>
          <w:sz w:val="21"/>
        </w:rPr>
        <w:t xml:space="preserve"> BPJS Kesehatan. </w:t>
      </w:r>
      <w:hyperlink r:id="rId25">
        <w:r>
          <w:rPr>
            <w:color w:val="2E74B5"/>
            <w:u w:val="single"/>
            <w:rFonts w:ascii="Calibri" w:hAnsi="Calibri" w:eastAsia="Calibri"/>
            <w:sz w:val="21"/>
            <w:szCs w:val="21"/>
          </w:rPr>
          <w:t>Mobile JKN account manual</w:t>
        </w:r>
      </w:hyperlink>
      <w:r>
        <w:rPr>
          <w:rFonts w:ascii="Calibri" w:hAnsi="Calibri" w:eastAsia="Calibri"/>
          <w:b w:val="0"/>
          <w:sz w:val="21"/>
        </w:rPr>
        <w:t xml:space="preserve"> and </w:t>
      </w:r>
      <w:hyperlink r:id="rId26">
        <w:r>
          <w:rPr>
            <w:color w:val="2E74B5"/>
            <w:u w:val="single"/>
            <w:rFonts w:ascii="Calibri" w:hAnsi="Calibri" w:eastAsia="Calibri"/>
            <w:sz w:val="21"/>
            <w:szCs w:val="21"/>
          </w:rPr>
          <w:t>biometric manual</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[E16]</w:t>
      </w:r>
      <w:r>
        <w:rPr>
          <w:rFonts w:ascii="Calibri" w:hAnsi="Calibri" w:eastAsia="Calibri"/>
          <w:b w:val="0"/>
          <w:sz w:val="21"/>
        </w:rPr>
        <w:t xml:space="preserve"> Kementerian Kesehatan RI JDIH. </w:t>
      </w:r>
      <w:hyperlink r:id="rId27">
        <w:r>
          <w:rPr>
            <w:color w:val="2E74B5"/>
            <w:u w:val="single"/>
            <w:rFonts w:ascii="Calibri" w:hAnsi="Calibri" w:eastAsia="Calibri"/>
            <w:sz w:val="21"/>
            <w:szCs w:val="21"/>
          </w:rPr>
          <w:t>Permenkes Nomor 24 Tahun 2022 tentang Rekam Medis</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[E17]</w:t>
      </w:r>
      <w:r>
        <w:rPr>
          <w:rFonts w:ascii="Calibri" w:hAnsi="Calibri" w:eastAsia="Calibri"/>
          <w:b w:val="0"/>
          <w:sz w:val="21"/>
        </w:rPr>
        <w:t xml:space="preserve"> Kementerian Kesehatan RI. </w:t>
      </w:r>
      <w:hyperlink r:id="rId28">
        <w:r>
          <w:rPr>
            <w:color w:val="2E74B5"/>
            <w:u w:val="single"/>
            <w:rFonts w:ascii="Calibri" w:hAnsi="Calibri" w:eastAsia="Calibri"/>
            <w:sz w:val="21"/>
            <w:szCs w:val="21"/>
          </w:rPr>
          <w:t>Kementerian Kesehatan Perkuat Tata Kelola AI untuk Mendukung Transformasi Kesehatan</w:t>
        </w:r>
      </w:hyperlink>
      <w:r>
        <w:rPr>
          <w:rFonts w:ascii="Calibri" w:hAnsi="Calibri" w:eastAsia="Calibri"/>
          <w:b w:val="0"/>
          <w:sz w:val="21"/>
        </w:rPr>
        <w:t xml:space="preserve"> and </w:t>
      </w:r>
      <w:hyperlink r:id="rId29">
        <w:r>
          <w:rPr>
            <w:color w:val="2E74B5"/>
            <w:u w:val="single"/>
            <w:rFonts w:ascii="Calibri" w:hAnsi="Calibri" w:eastAsia="Calibri"/>
            <w:sz w:val="21"/>
            <w:szCs w:val="21"/>
          </w:rPr>
          <w:t>Pemanfaatan AI Kesehatan Harus Diiringi Tata Kelola Ketat</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[E22]</w:t>
      </w:r>
      <w:r>
        <w:rPr>
          <w:rFonts w:ascii="Calibri" w:hAnsi="Calibri" w:eastAsia="Calibri"/>
          <w:b w:val="0"/>
          <w:sz w:val="21"/>
        </w:rPr>
        <w:t xml:space="preserve"> SATUSEHAT Platform. </w:t>
      </w:r>
      <w:hyperlink r:id="rId30">
        <w:r>
          <w:rPr>
            <w:color w:val="2E74B5"/>
            <w:u w:val="single"/>
            <w:rFonts w:ascii="Calibri" w:hAnsi="Calibri" w:eastAsia="Calibri"/>
            <w:sz w:val="21"/>
            <w:szCs w:val="21"/>
          </w:rPr>
          <w:t>Interoperabilitas Rujukan</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[E23]</w:t>
      </w:r>
      <w:r>
        <w:rPr>
          <w:rFonts w:ascii="Calibri" w:hAnsi="Calibri" w:eastAsia="Calibri"/>
          <w:b w:val="0"/>
          <w:sz w:val="21"/>
        </w:rPr>
        <w:t xml:space="preserve"> BPK Database Peraturan. </w:t>
      </w:r>
      <w:hyperlink r:id="rId31">
        <w:r>
          <w:rPr>
            <w:color w:val="2E74B5"/>
            <w:u w:val="single"/>
            <w:rFonts w:ascii="Calibri" w:hAnsi="Calibri" w:eastAsia="Calibri"/>
            <w:sz w:val="21"/>
            <w:szCs w:val="21"/>
          </w:rPr>
          <w:t>UU Nomor 17 Tahun 2023 tentang Kesehatan</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[E24]</w:t>
      </w:r>
      <w:r>
        <w:rPr>
          <w:rFonts w:ascii="Calibri" w:hAnsi="Calibri" w:eastAsia="Calibri"/>
          <w:b w:val="0"/>
          <w:sz w:val="21"/>
        </w:rPr>
        <w:t xml:space="preserve"> BPK Database Peraturan. </w:t>
      </w:r>
      <w:hyperlink r:id="rId32">
        <w:r>
          <w:rPr>
            <w:color w:val="2E74B5"/>
            <w:u w:val="single"/>
            <w:rFonts w:ascii="Calibri" w:hAnsi="Calibri" w:eastAsia="Calibri"/>
            <w:sz w:val="21"/>
            <w:szCs w:val="21"/>
          </w:rPr>
          <w:t>PP Nomor 28 Tahun 2024 tentang Peraturan Pelaksanaan UU Kesehatan</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[E25]</w:t>
      </w:r>
      <w:r>
        <w:rPr>
          <w:rFonts w:ascii="Calibri" w:hAnsi="Calibri" w:eastAsia="Calibri"/>
          <w:b w:val="0"/>
          <w:sz w:val="21"/>
        </w:rPr>
        <w:t xml:space="preserve"> BPK Database Peraturan. </w:t>
      </w:r>
      <w:hyperlink r:id="rId33">
        <w:r>
          <w:rPr>
            <w:color w:val="2E74B5"/>
            <w:u w:val="single"/>
            <w:rFonts w:ascii="Calibri" w:hAnsi="Calibri" w:eastAsia="Calibri"/>
            <w:sz w:val="21"/>
            <w:szCs w:val="21"/>
          </w:rPr>
          <w:t>Permenkes Nomor 16 Tahun 2019 tentang Pencegahan dan Penanganan Kecurangan serta Pengenaan Sanksi Administrasi terhadap Kecurangan dalam Pelaksanaan Program JKN</w:t>
        </w:r>
      </w:hyperlink>
      <w:r>
        <w:rPr>
          <w:rFonts w:ascii="Calibri" w:hAnsi="Calibri" w:eastAsia="Calibri"/>
          <w:b w:val="0"/>
          <w:sz w:val="21"/>
        </w:rPr>
        <w:t>.</w:t>
      </w:r>
    </w:p>
    <w:p>
      <w:pPr>
        <w:keepLines/>
        <w:spacing w:after="80" w:line="300" w:lineRule="auto"/>
        <w:numPr>
          <w:ilvl w:val="0"/>
          <w:numId w:val="65"/>
        </w:numPr>
      </w:pPr>
      <w:r>
        <w:rPr>
          <w:rFonts w:ascii="Calibri" w:hAnsi="Calibri" w:eastAsia="Calibri"/>
          <w:b/>
          <w:sz w:val="21"/>
        </w:rPr>
        <w:t>[E26]</w:t>
      </w:r>
      <w:r>
        <w:rPr>
          <w:rFonts w:ascii="Calibri" w:hAnsi="Calibri" w:eastAsia="Calibri"/>
          <w:b w:val="0"/>
          <w:sz w:val="21"/>
        </w:rPr>
        <w:t xml:space="preserve"> BPK Database Peraturan. </w:t>
      </w:r>
      <w:hyperlink r:id="rId34">
        <w:r>
          <w:rPr>
            <w:color w:val="2E74B5"/>
            <w:u w:val="single"/>
            <w:rFonts w:ascii="Calibri" w:hAnsi="Calibri" w:eastAsia="Calibri"/>
            <w:sz w:val="21"/>
            <w:szCs w:val="21"/>
          </w:rPr>
          <w:t>Perpres Nomor 59 Tahun 2024 tentang Perubahan Ketiga atas Perpres 82/2018 tentang Jaminan Kesehatan</w:t>
        </w:r>
      </w:hyperlink>
      <w:r>
        <w:rPr>
          <w:rFonts w:ascii="Calibri" w:hAnsi="Calibri" w:eastAsia="Calibri"/>
          <w:b w:val="0"/>
          <w:sz w:val="21"/>
        </w:rPr>
        <w:t>.</w:t>
      </w:r>
    </w:p>
    <w:p>
      <w:pPr>
        <w:pStyle w:val="Heading2"/>
      </w:pPr>
      <w:r>
        <w:rPr>
          <w:rFonts w:ascii="Calibri" w:hAnsi="Calibri" w:eastAsia="Calibri"/>
          <w:b/>
        </w:rPr>
        <w:t>Tier 2 — peer-reviewed research and established technical sources</w:t>
      </w:r>
    </w:p>
    <w:p>
      <w:pPr>
        <w:keepLines/>
        <w:spacing w:after="80" w:line="300" w:lineRule="auto"/>
        <w:numPr>
          <w:ilvl w:val="0"/>
          <w:numId w:val="66"/>
        </w:numPr>
      </w:pPr>
      <w:r>
        <w:rPr>
          <w:rFonts w:ascii="Calibri" w:hAnsi="Calibri" w:eastAsia="Calibri"/>
          <w:b/>
          <w:sz w:val="21"/>
        </w:rPr>
        <w:t>[E10]</w:t>
      </w:r>
      <w:r>
        <w:rPr>
          <w:rFonts w:ascii="Calibri" w:hAnsi="Calibri" w:eastAsia="Calibri"/>
          <w:b w:val="0"/>
          <w:sz w:val="21"/>
        </w:rPr>
        <w:t xml:space="preserve"> BMC Health Services Research, 2025. </w:t>
      </w:r>
      <w:hyperlink r:id="rId35">
        <w:r>
          <w:rPr>
            <w:color w:val="2E74B5"/>
            <w:u w:val="single"/>
            <w:rFonts w:ascii="Calibri" w:hAnsi="Calibri" w:eastAsia="Calibri"/>
            <w:sz w:val="21"/>
            <w:szCs w:val="21"/>
          </w:rPr>
          <w:t>Analysis using Indonesia’s National Health Insurance sample data</w:t>
        </w:r>
      </w:hyperlink>
      <w:r>
        <w:rPr>
          <w:rFonts w:ascii="Calibri" w:hAnsi="Calibri" w:eastAsia="Calibri"/>
          <w:b w:val="0"/>
          <w:sz w:val="21"/>
        </w:rPr>
        <w:t>. Used for the described approximate sample scale and variable domains; confirm the current BPJS codebook directly.</w:t>
      </w:r>
    </w:p>
    <w:p>
      <w:pPr>
        <w:keepLines/>
        <w:spacing w:after="80" w:line="300" w:lineRule="auto"/>
        <w:numPr>
          <w:ilvl w:val="0"/>
          <w:numId w:val="66"/>
        </w:numPr>
      </w:pPr>
      <w:r>
        <w:rPr>
          <w:rFonts w:ascii="Calibri" w:hAnsi="Calibri" w:eastAsia="Calibri"/>
          <w:b/>
          <w:sz w:val="21"/>
        </w:rPr>
        <w:t>[E11]</w:t>
      </w:r>
      <w:r>
        <w:rPr>
          <w:rFonts w:ascii="Calibri" w:hAnsi="Calibri" w:eastAsia="Calibri"/>
          <w:b w:val="0"/>
          <w:sz w:val="21"/>
        </w:rPr>
        <w:t xml:space="preserve"> Synthea / SyntheticMass. </w:t>
      </w:r>
      <w:hyperlink r:id="rId36">
        <w:r>
          <w:rPr>
            <w:color w:val="2E74B5"/>
            <w:u w:val="single"/>
            <w:rFonts w:ascii="Calibri" w:hAnsi="Calibri" w:eastAsia="Calibri"/>
            <w:sz w:val="21"/>
            <w:szCs w:val="21"/>
          </w:rPr>
          <w:t>Synthea GitHub repository</w:t>
        </w:r>
      </w:hyperlink>
      <w:r>
        <w:rPr>
          <w:rFonts w:ascii="Calibri" w:hAnsi="Calibri" w:eastAsia="Calibri"/>
          <w:b w:val="0"/>
          <w:sz w:val="21"/>
        </w:rPr>
        <w:t xml:space="preserve"> and </w:t>
      </w:r>
      <w:hyperlink r:id="rId37">
        <w:r>
          <w:rPr>
            <w:color w:val="2E74B5"/>
            <w:u w:val="single"/>
            <w:rFonts w:ascii="Calibri" w:hAnsi="Calibri" w:eastAsia="Calibri"/>
            <w:sz w:val="21"/>
            <w:szCs w:val="21"/>
          </w:rPr>
          <w:t>official documentation</w:t>
        </w:r>
      </w:hyperlink>
      <w:r>
        <w:rPr>
          <w:rFonts w:ascii="Calibri" w:hAnsi="Calibri" w:eastAsia="Calibri"/>
          <w:b w:val="0"/>
          <w:sz w:val="21"/>
        </w:rPr>
        <w:t>. Apache License 2.0; synthetic records are not representative of JKN without validated localization.</w:t>
      </w:r>
    </w:p>
    <w:p>
      <w:pPr>
        <w:keepLines/>
        <w:spacing w:after="80" w:line="300" w:lineRule="auto"/>
        <w:numPr>
          <w:ilvl w:val="0"/>
          <w:numId w:val="66"/>
        </w:numPr>
      </w:pPr>
      <w:r>
        <w:rPr>
          <w:rFonts w:ascii="Calibri" w:hAnsi="Calibri" w:eastAsia="Calibri"/>
          <w:b/>
          <w:sz w:val="21"/>
        </w:rPr>
        <w:t>[E18]</w:t>
      </w:r>
      <w:r>
        <w:rPr>
          <w:rFonts w:ascii="Calibri" w:hAnsi="Calibri" w:eastAsia="Calibri"/>
          <w:b w:val="0"/>
          <w:sz w:val="21"/>
        </w:rPr>
        <w:t xml:space="preserve"> Rasyid &amp; Shiddiq, 2026, *Jurnal Jaminan Kesehatan Nasional*. </w:t>
      </w:r>
      <w:hyperlink r:id="rId38">
        <w:r>
          <w:rPr>
            <w:color w:val="2E74B5"/>
            <w:u w:val="single"/>
            <w:rFonts w:ascii="Calibri" w:hAnsi="Calibri" w:eastAsia="Calibri"/>
            <w:sz w:val="21"/>
            <w:szCs w:val="21"/>
          </w:rPr>
          <w:t>Healthcare Fraud Detection Research (2015–2025): A Bibliometric and Meta-Scientific Review</w:t>
        </w:r>
      </w:hyperlink>
      <w:r>
        <w:rPr>
          <w:rFonts w:ascii="Calibri" w:hAnsi="Calibri" w:eastAsia="Calibri"/>
          <w:b w:val="0"/>
          <w:sz w:val="21"/>
        </w:rPr>
        <w:t>, DOI 10.53756/jjkn.v6i1.447.</w:t>
      </w:r>
    </w:p>
    <w:p>
      <w:pPr>
        <w:keepLines/>
        <w:spacing w:after="80" w:line="300" w:lineRule="auto"/>
        <w:numPr>
          <w:ilvl w:val="0"/>
          <w:numId w:val="66"/>
        </w:numPr>
      </w:pPr>
      <w:r>
        <w:rPr>
          <w:rFonts w:ascii="Calibri" w:hAnsi="Calibri" w:eastAsia="Calibri"/>
          <w:b/>
          <w:sz w:val="21"/>
        </w:rPr>
        <w:t>[E19]</w:t>
      </w:r>
      <w:r>
        <w:rPr>
          <w:rFonts w:ascii="Calibri" w:hAnsi="Calibri" w:eastAsia="Calibri"/>
          <w:b w:val="0"/>
          <w:sz w:val="21"/>
        </w:rPr>
        <w:t xml:space="preserve"> du Preez et al., 2025, *Artificial Intelligence in Medicine*. </w:t>
      </w:r>
      <w:hyperlink r:id="rId39">
        <w:r>
          <w:rPr>
            <w:color w:val="2E74B5"/>
            <w:u w:val="single"/>
            <w:rFonts w:ascii="Calibri" w:hAnsi="Calibri" w:eastAsia="Calibri"/>
            <w:sz w:val="21"/>
            <w:szCs w:val="21"/>
          </w:rPr>
          <w:t>Fraud detection in healthcare claims using machine learning: a systematic review</w:t>
        </w:r>
      </w:hyperlink>
      <w:r>
        <w:rPr>
          <w:rFonts w:ascii="Calibri" w:hAnsi="Calibri" w:eastAsia="Calibri"/>
          <w:b w:val="0"/>
          <w:sz w:val="21"/>
        </w:rPr>
        <w:t>, DOI 10.1016/j.artmed.2024.103061.</w:t>
      </w:r>
    </w:p>
    <w:p>
      <w:pPr>
        <w:keepLines/>
        <w:spacing w:after="80" w:line="300" w:lineRule="auto"/>
        <w:numPr>
          <w:ilvl w:val="0"/>
          <w:numId w:val="66"/>
        </w:numPr>
      </w:pPr>
      <w:r>
        <w:rPr>
          <w:rFonts w:ascii="Calibri" w:hAnsi="Calibri" w:eastAsia="Calibri"/>
          <w:b/>
          <w:sz w:val="21"/>
        </w:rPr>
        <w:t>[E20]</w:t>
      </w:r>
      <w:r>
        <w:rPr>
          <w:rFonts w:ascii="Calibri" w:hAnsi="Calibri" w:eastAsia="Calibri"/>
          <w:b w:val="0"/>
          <w:sz w:val="21"/>
        </w:rPr>
        <w:t xml:space="preserve"> De Meulemeester et al., 2025. </w:t>
      </w:r>
      <w:hyperlink r:id="rId40">
        <w:r>
          <w:rPr>
            <w:color w:val="2E74B5"/>
            <w:u w:val="single"/>
            <w:rFonts w:ascii="Calibri" w:hAnsi="Calibri" w:eastAsia="Calibri"/>
            <w:sz w:val="21"/>
            <w:szCs w:val="21"/>
          </w:rPr>
          <w:t>Explainable unsupervised anomaly detection for healthcare claims</w:t>
        </w:r>
      </w:hyperlink>
      <w:r>
        <w:rPr>
          <w:rFonts w:ascii="Calibri" w:hAnsi="Calibri" w:eastAsia="Calibri"/>
          <w:b w:val="0"/>
          <w:sz w:val="21"/>
        </w:rPr>
        <w:t>.</w:t>
      </w:r>
    </w:p>
    <w:p>
      <w:pPr>
        <w:keepLines/>
        <w:spacing w:after="80" w:line="300" w:lineRule="auto"/>
        <w:numPr>
          <w:ilvl w:val="0"/>
          <w:numId w:val="66"/>
        </w:numPr>
      </w:pPr>
      <w:r>
        <w:rPr>
          <w:rFonts w:ascii="Calibri" w:hAnsi="Calibri" w:eastAsia="Calibri"/>
          <w:b/>
          <w:sz w:val="21"/>
        </w:rPr>
        <w:t>[E21]</w:t>
      </w:r>
      <w:r>
        <w:rPr>
          <w:rFonts w:ascii="Calibri" w:hAnsi="Calibri" w:eastAsia="Calibri"/>
          <w:b w:val="0"/>
          <w:sz w:val="21"/>
        </w:rPr>
        <w:t xml:space="preserve"> World Health Organization, 18 January 2024. </w:t>
      </w:r>
      <w:hyperlink r:id="rId41">
        <w:r>
          <w:rPr>
            <w:color w:val="2E74B5"/>
            <w:u w:val="single"/>
            <w:rFonts w:ascii="Calibri" w:hAnsi="Calibri" w:eastAsia="Calibri"/>
            <w:sz w:val="21"/>
            <w:szCs w:val="21"/>
          </w:rPr>
          <w:t>WHO releases AI ethics and governance guidance for large multi-modal models</w:t>
        </w:r>
      </w:hyperlink>
      <w:r>
        <w:rPr>
          <w:rFonts w:ascii="Calibri" w:hAnsi="Calibri" w:eastAsia="Calibri"/>
          <w:b w:val="0"/>
          <w:sz w:val="21"/>
        </w:rPr>
        <w:t>.</w:t>
      </w:r>
    </w:p>
    <w:p>
      <w:pPr>
        <w:pStyle w:val="Heading2"/>
      </w:pPr>
      <w:r>
        <w:rPr>
          <w:rFonts w:ascii="Calibri" w:hAnsi="Calibri" w:eastAsia="Calibri"/>
          <w:b/>
        </w:rPr>
        <w:t>Tier 3 — credible secondary reporting, used narrowly</w:t>
      </w:r>
    </w:p>
    <w:p>
      <w:pPr>
        <w:keepLines/>
        <w:spacing w:after="80" w:line="300" w:lineRule="auto"/>
        <w:numPr>
          <w:ilvl w:val="0"/>
          <w:numId w:val="67"/>
        </w:numPr>
      </w:pPr>
      <w:r>
        <w:rPr>
          <w:rFonts w:ascii="Calibri" w:hAnsi="Calibri" w:eastAsia="Calibri"/>
          <w:b/>
          <w:sz w:val="21"/>
        </w:rPr>
        <w:t>[E13]</w:t>
      </w:r>
      <w:r>
        <w:rPr>
          <w:rFonts w:ascii="Calibri" w:hAnsi="Calibri" w:eastAsia="Calibri"/>
          <w:b w:val="0"/>
          <w:sz w:val="21"/>
        </w:rPr>
        <w:t xml:space="preserve"> Detik, report on Healthkathon 2025 winners. </w:t>
      </w:r>
      <w:hyperlink r:id="rId42">
        <w:r>
          <w:rPr>
            <w:color w:val="2E74B5"/>
            <w:u w:val="single"/>
            <w:rFonts w:ascii="Calibri" w:hAnsi="Calibri" w:eastAsia="Calibri"/>
            <w:sz w:val="21"/>
            <w:szCs w:val="21"/>
          </w:rPr>
          <w:t>BPJS Kesehatan Rilis Pemenang Healthkathon 2025</w:t>
        </w:r>
      </w:hyperlink>
      <w:r>
        <w:rPr>
          <w:rFonts w:ascii="Calibri" w:hAnsi="Calibri" w:eastAsia="Calibri"/>
          <w:b w:val="0"/>
          <w:sz w:val="21"/>
        </w:rPr>
        <w:t>. Used only to establish the publicly reported title of the third-place AI solution; its detailed functionality is not established.</w:t>
      </w:r>
    </w:p>
    <w:p>
      <w:pPr>
        <w:pStyle w:val="Heading2"/>
      </w:pPr>
      <w:r>
        <w:rPr>
          <w:rFonts w:ascii="Calibri" w:hAnsi="Calibri" w:eastAsia="Calibri"/>
          <w:b/>
        </w:rPr>
        <w:t>Source quality cautions</w:t>
      </w:r>
    </w:p>
    <w:p>
      <w:pPr>
        <w:keepLines/>
        <w:spacing w:after="80" w:line="300" w:lineRule="auto"/>
        <w:numPr>
          <w:ilvl w:val="0"/>
          <w:numId w:val="68"/>
        </w:numPr>
      </w:pPr>
      <w:r>
        <w:rPr>
          <w:rFonts w:ascii="Calibri" w:hAnsi="Calibri" w:eastAsia="Calibri"/>
          <w:b w:val="0"/>
          <w:sz w:val="21"/>
        </w:rPr>
        <w:t>Several official news articles contain apparent regulation-number typos; this plan cites the authoritative regulation pages for legal references.</w:t>
      </w:r>
    </w:p>
    <w:p>
      <w:pPr>
        <w:keepLines/>
        <w:spacing w:after="80" w:line="300" w:lineRule="auto"/>
        <w:numPr>
          <w:ilvl w:val="0"/>
          <w:numId w:val="68"/>
        </w:numPr>
      </w:pPr>
      <w:r>
        <w:rPr>
          <w:rFonts w:ascii="Calibri" w:hAnsi="Calibri" w:eastAsia="Calibri"/>
          <w:b w:val="0"/>
          <w:sz w:val="21"/>
        </w:rPr>
        <w:t>Portal pages may change or require authentication. Capture dated copies/screenshots for proposal substantiation where permitted.</w:t>
      </w:r>
    </w:p>
    <w:p>
      <w:pPr>
        <w:keepLines/>
        <w:spacing w:after="80" w:line="300" w:lineRule="auto"/>
        <w:numPr>
          <w:ilvl w:val="0"/>
          <w:numId w:val="68"/>
        </w:numPr>
      </w:pPr>
      <w:r>
        <w:rPr>
          <w:rFonts w:ascii="Calibri" w:hAnsi="Calibri" w:eastAsia="Calibri"/>
          <w:b w:val="0"/>
          <w:sz w:val="21"/>
        </w:rPr>
        <w:t>No source above establishes a current national JKN fraud-loss figure, real-world performance for TilikKlaim, or detailed BPJS internal system capability. Do not infer those claims.</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Calibri"/>
        <w:color w:val="5D6B78"/>
        <w:sz w:val="17"/>
      </w:rPr>
      <w:t xml:space="preserve">TilikKlaim  ·  29 August 2026  ·  </w:t>
    </w:r>
    <w:r>
      <w:rPr>
        <w:rFonts w:ascii="Calibri" w:hAnsi="Calibri" w:eastAsia="Calibri"/>
        <w:color w:val="5D6B78"/>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D6B78"/>
        <w:sz w:val="17"/>
      </w:rPr>
      <w:t xml:space="preserve">TilikKlaim  ·  29 August 2026  ·  </w:t>
    </w:r>
    <w:r>
      <w:rPr>
        <w:rFonts w:ascii="Calibri" w:hAnsi="Calibri" w:eastAsia="Calibri"/>
        <w:color w:val="5D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6DEE7"/>
      </w:pBdr>
    </w:pPr>
    <w:r>
      <w:rPr>
        <w:rFonts w:ascii="Calibri" w:hAnsi="Calibri" w:eastAsia="Calibri"/>
        <w:b/>
        <w:color w:val="5D6B78"/>
        <w:sz w:val="17"/>
      </w:rPr>
      <w:t>HEALTHKATHON 2026  ·  WINNING MASTER PLAN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Symbol" w:hAnsi="Symbol"/>
      </w:rPr>
    </w:lvl>
  </w:abstractNum>
  <w:abstractNum w:abstractNumId="10">
    <w:multiLevelType w:val="singleLevel"/>
    <w:lvl w:ilvl="0">
      <w:start w:val="1"/>
      <w:numFmt w:val="decimal"/>
      <w:lvlText w:val="%1."/>
      <w:lvlJc w:val="left"/>
      <w:pPr>
        <w:tabs>
          <w:tab w:val="num" w:pos="540"/>
        </w:tabs>
        <w:ind w:left="540" w:hanging="271"/>
      </w:pPr>
      <w:rPr>
        <w:rFonts w:ascii="Calibri" w:hAnsi="Calibri"/>
      </w:rPr>
    </w:lvl>
  </w:abstractNum>
  <w:num w:numId="10">
    <w:abstractNumId w:val="10"/>
    <w:lvlOverride w:ilvl="0">
      <w:startOverride w:val="1"/>
    </w:lvlOverride>
  </w:num>
  <w:num w:numId="11">
    <w:abstractNumId w:val="10"/>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10"/>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10"/>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10"/>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10"/>
    <w:lvlOverride w:ilvl="0">
      <w:startOverride w:val="1"/>
    </w:lvlOverride>
  </w:num>
  <w:num w:numId="46">
    <w:abstractNumId w:val="9"/>
    <w:lvlOverride w:ilvl="0">
      <w:startOverride w:val="1"/>
    </w:lvlOverride>
  </w:num>
  <w:num w:numId="47">
    <w:abstractNumId w:val="10"/>
    <w:lvlOverride w:ilvl="0">
      <w:startOverride w:val="1"/>
    </w:lvlOverride>
  </w:num>
  <w:num w:numId="48">
    <w:abstractNumId w:val="9"/>
    <w:lvlOverride w:ilvl="0">
      <w:startOverride w:val="1"/>
    </w:lvlOverride>
  </w:num>
  <w:num w:numId="49">
    <w:abstractNumId w:val="10"/>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10"/>
    <w:lvlOverride w:ilvl="0">
      <w:startOverride w:val="1"/>
    </w:lvlOverride>
  </w:num>
  <w:num w:numId="56">
    <w:abstractNumId w:val="9"/>
    <w:lvlOverride w:ilvl="0">
      <w:startOverride w:val="1"/>
    </w:lvlOverride>
  </w:num>
  <w:num w:numId="57">
    <w:abstractNumId w:val="10"/>
    <w:lvlOverride w:ilvl="0">
      <w:startOverride w:val="1"/>
    </w:lvlOverride>
  </w:num>
  <w:num w:numId="58">
    <w:abstractNumId w:val="9"/>
    <w:lvlOverride w:ilvl="0">
      <w:startOverride w:val="1"/>
    </w:lvlOverride>
  </w:num>
  <w:num w:numId="59">
    <w:abstractNumId w:val="10"/>
    <w:lvlOverride w:ilvl="0">
      <w:startOverride w:val="1"/>
    </w:lvlOverride>
  </w:num>
  <w:num w:numId="60">
    <w:abstractNumId w:val="9"/>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left="0" w:right="0" w:firstLine="0"/>
      <w:jc w:val="left"/>
      <w:outlineLvl w:val="0"/>
    </w:pPr>
    <w:rPr>
      <w:rFonts w:asciiTheme="majorHAnsi" w:eastAsiaTheme="majorEastAsia" w:hAnsiTheme="majorHAnsi" w:cstheme="majorBidi" w:ascii="Calibri" w:hAnsi="Calibri"/>
      <w:b/>
      <w:bCs/>
      <w:color w:val="2E74B5"/>
      <w:sz w:val="32"/>
      <w:szCs w:val="28"/>
      <w:lang w:val="id-ID"/>
    </w:rPr>
  </w:style>
  <w:style w:type="paragraph" w:styleId="Heading2">
    <w:name w:val="heading 2"/>
    <w:basedOn w:val="Normal"/>
    <w:next w:val="Normal"/>
    <w:link w:val="Heading2Char"/>
    <w:uiPriority w:val="9"/>
    <w:unhideWhenUsed/>
    <w:qFormat/>
    <w:rsid w:val="00FC693F"/>
    <w:pPr>
      <w:keepNext/>
      <w:keepLines/>
      <w:spacing w:before="280" w:after="140"/>
      <w:ind w:left="0" w:right="0" w:firstLine="0"/>
      <w:jc w:val="left"/>
      <w:outlineLvl w:val="1"/>
    </w:pPr>
    <w:rPr>
      <w:rFonts w:asciiTheme="majorHAnsi" w:eastAsiaTheme="majorEastAsia" w:hAnsiTheme="majorHAnsi" w:cstheme="majorBidi" w:ascii="Calibri" w:hAnsi="Calibri"/>
      <w:b/>
      <w:bCs/>
      <w:color w:val="2E74B5"/>
      <w:sz w:val="26"/>
      <w:szCs w:val="26"/>
      <w:lang w:val="id-ID"/>
    </w:rPr>
  </w:style>
  <w:style w:type="paragraph" w:styleId="Heading3">
    <w:name w:val="heading 3"/>
    <w:basedOn w:val="Normal"/>
    <w:next w:val="Normal"/>
    <w:link w:val="Heading3Char"/>
    <w:uiPriority w:val="9"/>
    <w:unhideWhenUsed/>
    <w:qFormat/>
    <w:rsid w:val="00FC693F"/>
    <w:pPr>
      <w:keepNext/>
      <w:keepLines/>
      <w:spacing w:before="200" w:after="100"/>
      <w:ind w:left="0" w:right="0" w:firstLine="0"/>
      <w:jc w:val="left"/>
      <w:outlineLvl w:val="2"/>
    </w:pPr>
    <w:rPr>
      <w:rFonts w:asciiTheme="majorHAnsi" w:eastAsiaTheme="majorEastAsia" w:hAnsiTheme="majorHAnsi" w:cstheme="majorBidi" w:ascii="Calibri" w:hAnsi="Calibri"/>
      <w:b/>
      <w:bCs/>
      <w:color w:val="1F4D78"/>
      <w:sz w:val="24"/>
      <w:lang w:val="id-I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ompact">
    <w:name w:val="Executive Compact"/>
    <w:pPr>
      <w:spacing w:before="0" w:after="60" w:line="252" w:lineRule="auto"/>
    </w:pPr>
    <w:rPr>
      <w:rFonts w:ascii="Calibri" w:hAnsi="Calibri"/>
      <w:color w:val="0B2545"/>
      <w:sz w:val="18"/>
      <w:lang w:val="id-ID"/>
    </w:rPr>
  </w:style>
  <w:style w:type="paragraph" w:customStyle="1" w:styleId="Checklist">
    <w:name w:val="Checklist"/>
    <w:pPr>
      <w:spacing w:after="80" w:line="300" w:lineRule="auto"/>
      <w:ind w:left="540" w:hanging="271"/>
    </w:pPr>
    <w:rPr>
      <w:rFonts w:ascii="Calibri" w:hAnsi="Calibri"/>
      <w:sz w:val="21"/>
      <w:lang w:val="id-ID"/>
    </w:rPr>
  </w:style>
  <w:style w:type="paragraph" w:customStyle="1" w:styleId="CodeBlock">
    <w:name w:val="Code Block"/>
    <w:pPr>
      <w:spacing w:before="80" w:after="120" w:line="240" w:lineRule="auto"/>
      <w:ind w:left="173" w:right="173"/>
    </w:pPr>
    <w:rPr>
      <w:rFonts w:ascii="Consolas" w:hAnsi="Consolas"/>
      <w:color w:val="1F4D78"/>
      <w:sz w:val="17"/>
      <w:lang w:val="id-ID"/>
    </w:rPr>
  </w:style>
  <w:style w:type="paragraph" w:customStyle="1" w:styleId="TableCitation">
    <w:name w:val="Table Citation"/>
    <w:pPr>
      <w:spacing w:before="80" w:after="80" w:line="240" w:lineRule="auto"/>
    </w:pPr>
    <w:rPr>
      <w:rFonts w:ascii="Calibri" w:hAnsi="Calibri"/>
      <w:i/>
      <w:color w:val="5D6B78"/>
      <w:sz w:val="17"/>
      <w:lang w:val="id-I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setjen.kemkes.go.id/news/kemenkes-perkuat-tata-kelola-klaim-jkn-melalui-integrasi-rekam-medis-elektronik-dengan-satusehat" TargetMode="External"/><Relationship Id="rId14" Type="http://schemas.openxmlformats.org/officeDocument/2006/relationships/hyperlink" Target="https://satusehat.kemkes.go.id/platform/docs/id/interoperability/klaim-bpjs/" TargetMode="External"/><Relationship Id="rId15" Type="http://schemas.openxmlformats.org/officeDocument/2006/relationships/hyperlink" Target="https://satusehat.kemkes.go.id/platform/docs/id/fhir/resources/purification-decision/" TargetMode="External"/><Relationship Id="rId16" Type="http://schemas.openxmlformats.org/officeDocument/2006/relationships/hyperlink" Target="https://satusehat.kemkes.go.id/platform/docs/id/interoperability/rme-rawat-jalan/" TargetMode="External"/><Relationship Id="rId17" Type="http://schemas.openxmlformats.org/officeDocument/2006/relationships/hyperlink" Target="https://www.badankebijakan.kemkes.go.id/wajib-integrasi-satu-sehat-kemenkes-desak-percepatan-rme-di-fasyankes/" TargetMode="External"/><Relationship Id="rId18" Type="http://schemas.openxmlformats.org/officeDocument/2006/relationships/hyperlink" Target="https://kesehatan.djsn.go.id/kesehatan/doc/laporan-bulanan/Monthly_Report_JKN_11_2025.pdf" TargetMode="External"/><Relationship Id="rId19" Type="http://schemas.openxmlformats.org/officeDocument/2006/relationships/hyperlink" Target="https://www.bpjs-kesehatan.go.id/" TargetMode="External"/><Relationship Id="rId20" Type="http://schemas.openxmlformats.org/officeDocument/2006/relationships/hyperlink" Target="https://www.kpk.go.id/id/ruang-informasi/berita/sinergi-kpk-bpjs-kesehatan-kawal-layanan-kesehatan-anti-fraud" TargetMode="External"/><Relationship Id="rId21" Type="http://schemas.openxmlformats.org/officeDocument/2006/relationships/hyperlink" Target="https://data.bpjs-kesehatan.go.id/bpjs-portal/action/homedataset.cbi" TargetMode="External"/><Relationship Id="rId22" Type="http://schemas.openxmlformats.org/officeDocument/2006/relationships/hyperlink" Target="https://data.bpjs-kesehatan.go.id/bpjs-portal/action/landingPage.cbi" TargetMode="External"/><Relationship Id="rId23" Type="http://schemas.openxmlformats.org/officeDocument/2006/relationships/hyperlink" Target="https://peraturan.bpk.go.id/details/229798/uu-no-27-" TargetMode="External"/><Relationship Id="rId24" Type="http://schemas.openxmlformats.org/officeDocument/2006/relationships/hyperlink" Target="https://data.bpjs-kesehatan.go.id/bpjs-portal/action/blog-detail.cbi?id=4673ffe2-0581-11ec-9744-6b066d7422df" TargetMode="External"/><Relationship Id="rId25" Type="http://schemas.openxmlformats.org/officeDocument/2006/relationships/hyperlink" Target="https://bpjs-kesehatan.go.id/user-manual-mobile-jkn/akun-mobile-jkn.html" TargetMode="External"/><Relationship Id="rId26" Type="http://schemas.openxmlformats.org/officeDocument/2006/relationships/hyperlink" Target="https://bpjs-kesehatan.go.id/user-manual-mobile-jkn/mobilejkn/biometrik.html" TargetMode="External"/><Relationship Id="rId27" Type="http://schemas.openxmlformats.org/officeDocument/2006/relationships/hyperlink" Target="https://jdih.kemkes.go.id/documents/peraturan-menteri-kesehatan-nomor-24-tahun-2022" TargetMode="External"/><Relationship Id="rId28" Type="http://schemas.openxmlformats.org/officeDocument/2006/relationships/hyperlink" Target="https://setjen.kemkes.go.id/news/kementerian-kesehatan-perkuat-tata-kelola-ai-untuk-mendukung-transformasi-kesehatan" TargetMode="External"/><Relationship Id="rId29" Type="http://schemas.openxmlformats.org/officeDocument/2006/relationships/hyperlink" Target="https://kemkes.go.id/id/kemenkes-tekankan-pemanfaatan-ai-kesehatan-harus-diiringi-tata-kelola-ketat-dan-etika-yang-kuat" TargetMode="External"/><Relationship Id="rId30" Type="http://schemas.openxmlformats.org/officeDocument/2006/relationships/hyperlink" Target="https://satusehat.kemkes.go.id/platform/docs/id/interoperability/rujukan/" TargetMode="External"/><Relationship Id="rId31" Type="http://schemas.openxmlformats.org/officeDocument/2006/relationships/hyperlink" Target="https://peraturan.bpk.go.id/Details/258028/uu-no-17-tahun-2023" TargetMode="External"/><Relationship Id="rId32" Type="http://schemas.openxmlformats.org/officeDocument/2006/relationships/hyperlink" Target="https://peraturan.bpk.go.id/details/294077/pp-no-28-tahun-2024" TargetMode="External"/><Relationship Id="rId33" Type="http://schemas.openxmlformats.org/officeDocument/2006/relationships/hyperlink" Target="https://peraturan.bpk.go.id/Details/129762/permenkes-no-16-tahun-" TargetMode="External"/><Relationship Id="rId34" Type="http://schemas.openxmlformats.org/officeDocument/2006/relationships/hyperlink" Target="https://peraturan.bpk.go.id/Details/285181/perpres-no-59-tahun-2024" TargetMode="External"/><Relationship Id="rId35" Type="http://schemas.openxmlformats.org/officeDocument/2006/relationships/hyperlink" Target="https://link.springer.com/article/10.1186/s12913-025-13756-9" TargetMode="External"/><Relationship Id="rId36" Type="http://schemas.openxmlformats.org/officeDocument/2006/relationships/hyperlink" Target="https://github.com/synthetichealth/synthea" TargetMode="External"/><Relationship Id="rId37" Type="http://schemas.openxmlformats.org/officeDocument/2006/relationships/hyperlink" Target="https://synthea.mitre.org/downloads" TargetMode="External"/><Relationship Id="rId38" Type="http://schemas.openxmlformats.org/officeDocument/2006/relationships/hyperlink" Target="https://jurnal-jkn.bpjs-kesehatan.go.id/index.php/jjkn/article/view/447/158" TargetMode="External"/><Relationship Id="rId39" Type="http://schemas.openxmlformats.org/officeDocument/2006/relationships/hyperlink" Target="https://pubmed.ncbi.nlm.nih.gov/39756221/" TargetMode="External"/><Relationship Id="rId40" Type="http://schemas.openxmlformats.org/officeDocument/2006/relationships/hyperlink" Target="https://pmc.ncbi.nlm.nih.gov/articles/PMC11720628/" TargetMode="External"/><Relationship Id="rId41" Type="http://schemas.openxmlformats.org/officeDocument/2006/relationships/hyperlink" Target="https://www.who.int/news/item/18-01-2024-who-releases-ai-ethics-and-governance-guidance-for-large-multi-modal-models" TargetMode="External"/><Relationship Id="rId42" Type="http://schemas.openxmlformats.org/officeDocument/2006/relationships/hyperlink" Target="https://news.detik.com/berita/d-8235264/bpjs-kesehatan-rilis-pemenang-healthkathon-2025-ini-daftar-juara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HEALTHKATHON 2026 — WINNING MASTER PLAN</dc:title>
  <dc:subject>Evidence-driven competition, product, technical, and execution strategy for BPJS Kesehatan Healthkathon 2026</dc:subject>
  <dc:creator>Competition Strategy Team</dc:creator>
  <cp:keywords>Healthkathon, BPJS Kesehatan, JKN, SATUSEHAT, TilikKlaim, claim integrity</cp:keywords>
  <dc:description>generated by python-docx</dc:description>
  <cp:lastModifiedBy/>
  <cp:revision>1</cp:revision>
  <dcterms:created xsi:type="dcterms:W3CDTF">2013-12-23T23:15:00Z</dcterms:created>
  <dcterms:modified xsi:type="dcterms:W3CDTF">2013-12-23T23:15:00Z</dcterms:modified>
  <cp:category/>
</cp:coreProperties>
</file>