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sz w:val="40"/>
        </w:rPr>
        <w:t>SmartRPD Web Application</w:t>
      </w:r>
    </w:p>
    <w:p>
      <w:pPr>
        <w:spacing w:after="40"/>
      </w:pPr>
      <w:r>
        <w:rPr>
          <w:b/>
          <w:sz w:val="32"/>
        </w:rPr>
        <w:t>Cybersecurity Protocol Document</w:t>
      </w:r>
    </w:p>
    <w:p>
      <w:pPr>
        <w:spacing w:after="240"/>
      </w:pPr>
      <w:r>
        <w:rPr>
          <w:i/>
          <w:sz w:val="22"/>
        </w:rPr>
        <w:t>First draft — current security posture, known exposures, and hardening protocol (nyunt/dev-W7.1, the live branch, @ e621194)</w:t>
      </w:r>
    </w:p>
    <w:p>
      <w:r>
        <w:rPr>
          <w:i/>
          <w:color w:val="C00000"/>
        </w:rPr>
        <w:t>DRAFT STATUS: assembled by reading this branch's actual codebase, dependency tree, CI/CD workflow and deployment configuration directly. It documents what the security posture actually is today, not an aspirational policy. Findings marked “Confirmed in code” were verified by reading the referenced file directly. This document should be reviewed and signed off before being treated as the governing protocol.</w:t>
      </w:r>
    </w:p>
    <w:p>
      <w:pPr>
        <w:pStyle w:val="Heading1"/>
      </w:pPr>
      <w:r>
        <w:t>1. Purpose and Scope</w:t>
      </w:r>
    </w:p>
    <w:p>
      <w:r>
        <w:t>This document defines the current cybersecurity posture of the SmartRPD Web Application on nyunt/dev-W7.1 (the live, deployed branch, built from dev-deploy-documentation), catalogues the concrete exposures found in the codebase and pipeline as of this draft, and sets out the protocol for closing them. It covers the frontend web client (this repository), its build/deploy pipeline (the GitHub Actions “Deploy Test Site” workflow -- see Documentations/setup/03-cicd-and-deployment-setup.md), and the data it handles -- including per-tooth clinical/case information treated here as sensitive patient-adjacent data even where no formal regulatory classification has been assigned.</w:t>
      </w:r>
    </w:p>
    <w:p>
      <w:r>
        <w:t>Out of scope: the backend API (live.api.smartrpdai.com) and its infrastructure, which are not in this repository and cannot be audited from here. Every finding below is scoped to what the frontend controls, sends to, or exposes about that backend.</w:t>
      </w:r>
    </w:p>
    <w:p>
      <w:r>
        <w:rPr>
          <w:b/>
        </w:rPr>
        <w:t xml:space="preserve">Note on Jenkinsfile: </w:t>
      </w:r>
      <w:r>
        <w:t>a Jenkinsfile exists in this repo (moved to legacy/Jenkinsfile as part of a repository cleanup pass) but is explicitly documented as retired -- local Jenkins was uninstalled 2026-07-17 and the nginx/EC2 production split it describes was never actually built (Documentations/setup/03-cicd-and-deployment-setup.md). GitHub Actions is the only live pipeline. This document evaluates that pipeline, not the retired Jenkins one.</w:t>
      </w:r>
    </w:p>
    <w:p>
      <w:pPr>
        <w:pStyle w:val="Heading1"/>
      </w:pPr>
      <w:r>
        <w:t>2. Current Security Posture — Executive Summary</w:t>
      </w:r>
    </w:p>
    <w:p>
      <w:r>
        <w:t>The application authenticates every session against a single shared service account whose plaintext credentials are committed to source control and shipped to every browser in the production bundle. Multi-factor authentication (OTP) exists in the codebase but is currently disabled by a temporary code path. Route protection is client-side, though the newer admin module is a genuinely better pattern -- it explicitly treats the server's is_admin check as authoritative and the local flag as UI-only (§4.3). There are no HTTP security headers configured, and three third-party CDN scripts load without integrity checks (§6.3). Against that, the CI/CD pipeline itself is a real strength: a fail-closed test gate plus a sha256-digested, timestamped manifest on every deploy (§8.1) -- better provenance than many larger projects have, and worth preserving as this app matures.</w:t>
      </w:r>
    </w:p>
    <w:p>
      <w:r>
        <w:rPr>
          <w:b/>
        </w:rPr>
        <w:t xml:space="preserve">Overall posture rating: </w:t>
      </w:r>
      <w:r>
        <w:t>Weak / High Risk on the client-auth findings (§10, F-1/F-2/F-3), offset by a genuinely solid deploy pipeline (§8.1).</w:t>
      </w:r>
    </w:p>
    <w:p>
      <w:pPr>
        <w:pStyle w:val="Heading1"/>
      </w:pPr>
      <w:r>
        <w:t>3. Data Classification</w:t>
      </w:r>
    </w:p>
    <w:p>
      <w:r>
        <w:t>Case records handled by this application include per-tooth clinical notes (src/js/2D/clinicalInfo.js), patient case identifiers, dental lab and clinician usernames/emails, and 3D scan/model data. This is healthcare-adjacent data even though the application is a dental-lab design tool rather than a clinical record system. This document treats it as Sensitive for the purposes of the recommendations in §4–§9, regardless of whether a formal regulatory regime (e.g. HIPAA-equivalent) has been confirmed as applicable.</w:t>
      </w:r>
    </w:p>
    <w:p>
      <w:pPr>
        <w:pStyle w:val="Heading1"/>
      </w:pPr>
      <w:r>
        <w:t>4. Authentication and Access Control</w:t>
      </w:r>
    </w:p>
    <w:p>
      <w:pPr>
        <w:pStyle w:val="Heading2"/>
      </w:pPr>
      <w:r>
        <w:t>4.1 Shared service-account credentials shipped to the client</w:t>
      </w:r>
    </w:p>
    <w:p>
      <w:r>
        <w:t>Confirmed in code. src/js/shared/config.js exports LOGIN_CREDENTIALS containing a live username and plaintext password, plus a MACHINE_ID and VIEWER_UUID. src/viewer3d/ApiClient.js's login() calls POST /user/login with these exact credentials to establish the session every API call in the app depends on. The module's own comment already flags this (“centralizing them here does NOT make them secret”) and points at a CODE_FLAGS.md that is not present in this repo checkout -- worth locating or recreating so the referenced context isn't a dead link.</w:t>
      </w:r>
    </w:p>
    <w:p>
      <w:r>
        <w:rPr>
          <w:b/>
        </w:rPr>
        <w:t xml:space="preserve">Protocol: </w:t>
      </w:r>
      <w:r>
        <w:t>authentication must move server-side -- either a short-lived token exchange after the user's own login succeeds, or a backend proxy that holds the service credential and is never exposed to the browser. Until that lands, rotate the current value immediately -- it is already public in this repository's git history and rotating config.js alone does not remove the old value from history.</w:t>
      </w:r>
    </w:p>
    <w:p>
      <w:pPr>
        <w:pStyle w:val="Heading2"/>
      </w:pPr>
      <w:r>
        <w:t>4.2 Multi-factor authentication is currently disabled</w:t>
      </w:r>
    </w:p>
    <w:p>
      <w:r>
        <w:t>Confirmed in code. src/js/pages/login.js's sendOTP() stores the logged-in user and returns success immediately after the initial username/password call; the OTP-generation and redirect logic is still present but commented out under a `TEMP-OTP-DISABLED` marker. The verifyAndLogin() function and the full OTP-entry UI still exist and are wired up, so MFA can be restored by re-enabling this block.</w:t>
      </w:r>
    </w:p>
    <w:p>
      <w:r>
        <w:rPr>
          <w:b/>
        </w:rPr>
        <w:t xml:space="preserve">Protocol: </w:t>
      </w:r>
      <w:r>
        <w:t>treat re-enabling OTP as a priority item, or if it's staying off deliberately for this environment, record that decision explicitly (who approved it, for which environment, why) rather than leaving it as a commented-out code block that anyone could re-enable or further disable without review.</w:t>
      </w:r>
    </w:p>
    <w:p>
      <w:pPr>
        <w:pStyle w:val="Heading2"/>
      </w:pPr>
      <w:r>
        <w:t>4.3 Client-side route guard, but a good server-authoritative pattern in the new admin module</w:t>
      </w:r>
    </w:p>
    <w:p>
      <w:r>
        <w:t>The app's route protection (referred to as “authGuard” in code comments, e.g. src/js/pages/viewerShell.js) gates on localStorage.loggedInUser.uuid, which is client-controlled and provides no real access control by itself -- the API backend's own per-request authorization is the only real gate, and this document cannot verify that gate from the frontend repository.</w:t>
      </w:r>
    </w:p>
    <w:p>
      <w:r>
        <w:t>The new admin module (src/js/admin/adminUsers.js, adminMachineId.js) is a better example worth generalizing: its own comments state “the server checks is_admin (Auth.authIsAdmin) from the caller uuid ... the local isAdmin flag only decides what UI to show; the server stays authoritative,” and the code explicitly reconciles when “server disagrees with local isAdmin flag -- server wins.” That is the right mental model for client-side state everywhere in this app, not just the admin pages.</w:t>
      </w:r>
    </w:p>
    <w:p>
      <w:r>
        <w:rPr>
          <w:b/>
        </w:rPr>
        <w:t xml:space="preserve">Protocol: </w:t>
      </w:r>
      <w:r>
        <w:t>confirm with the backend team that every non-admin endpoint independently authorizes each request the same way the admin endpoints already do; use the admin module's server-wins reconciliation pattern as the template when reviewing other client-trust assumptions in this codebase.</w:t>
      </w:r>
    </w:p>
    <w:p>
      <w:pPr>
        <w:pStyle w:val="Heading2"/>
      </w:pPr>
      <w:r>
        <w:t>4.4 Signed-in password change relies on the same email-key flow as a forgotten password</w:t>
      </w:r>
    </w:p>
    <w:p>
      <w:r>
        <w:t>Confirmed in code. src/js/shared/passwordReset.js (new this branch) is shared by both the signed-out “Forgot password” flow and the signed-in “Change Account Password” sidebar item. Its own comment states: “There is no endpoint that verifies a current password, so a signed-in change goes through the same key” -- i.e. changing your password while logged in proves nothing about your current password, only possession of the account's email inbox. Separately, MIN_PASSWORD_LENGTH (8) is enforced client-side only: “The backend enforces nothing, so this guard lives entirely on the client” -- a direct API call can set an arbitrarily short/weak password.</w:t>
      </w:r>
    </w:p>
    <w:p>
      <w:r>
        <w:rPr>
          <w:b/>
        </w:rPr>
        <w:t xml:space="preserve">Protocol: </w:t>
      </w:r>
      <w:r>
        <w:t>for the signed-in change-password path specifically, prefer verifying the current password (or an equivalent re-auth step) over routing through the email-key flow -- an attacker with a live, already-authenticated session shouldn't need mailbox access to change the password out from under the legitimate user, and vice versa a compromised mailbox alone becoming sufficient to reset an otherwise-secure account is a real risk worth reducing. Ask the backend team to enforce a minimum password policy server-side -- the client-only check is a UX nicety, not a control.</w:t>
      </w:r>
    </w:p>
    <w:p>
      <w:pPr>
        <w:pStyle w:val="Heading2"/>
      </w:pPr>
      <w:r>
        <w:t>4.5 Open-redirect protection — working as intended (positive finding)</w:t>
      </w:r>
    </w:p>
    <w:p>
      <w:r>
        <w:t>postLoginTarget() in login.js validates that a stashed post-login redirect URL is same-origin before honoring it, and consumes the stash after one use. A correct, deliberate mitigation already in place.</w:t>
      </w:r>
    </w:p>
    <w:p>
      <w:pPr>
        <w:pStyle w:val="Heading2"/>
      </w:pPr>
      <w:r>
        <w:t>4.6 auto_user URL identity token — resolved since the earlier draft of this document</w:t>
      </w:r>
    </w:p>
    <w:p>
      <w:r>
        <w:t>An earlier review of this application (on a different branch) found an `auto_user=&lt;base64&gt;` query parameter carrying identity data into a shared 3D-viewer link. That parameter is not present in this branch's showThreeDViewerQr()/export-link code -- confirmed by search, not just absence of a comment. Noted here so the fix isn't silently lost track of if branches merge back together.</w:t>
      </w:r>
    </w:p>
    <w:p>
      <w:pPr>
        <w:pStyle w:val="Heading1"/>
      </w:pPr>
      <w:r>
        <w:t>5. Secrets and Credential Management</w:t>
      </w:r>
    </w:p>
    <w:p>
      <w:pPr>
        <w:pStyle w:val="Heading2"/>
      </w:pPr>
      <w:r>
        <w:t>5.1 Build-time environment variables are injected wholesale into the public bundle</w:t>
      </w:r>
    </w:p>
    <w:p>
      <w:r>
        <w:t>Confirmed in code. webpack.config.js:</w:t>
      </w:r>
    </w:p>
    <w:p>
      <w:pPr>
        <w:ind w:left="432"/>
      </w:pPr>
      <w:r>
        <w:rPr>
          <w:rFonts w:ascii="Consolas" w:hAnsi="Consolas"/>
          <w:sz w:val="19"/>
        </w:rPr>
        <w:t>new webpack.DefinePlugin({ 'process.env': JSON.stringify(process.env) })</w:t>
      </w:r>
    </w:p>
    <w:p>
      <w:r>
        <w:t>This serializes the entire process.env of whatever machine runs npm run build into dist/bundle.js, not just variables the app actually references. Documentations/setup/01-local-development-setup.md and 04-troubleshooting.md both already warn about this explicitly and confirm there is currently no .env file in the repo -- the warning is live onboarding guidance, not a stale note.</w:t>
      </w:r>
    </w:p>
    <w:p>
      <w:r>
        <w:rPr>
          <w:b/>
        </w:rPr>
        <w:t xml:space="preserve">Protocol: </w:t>
      </w:r>
      <w:r>
        <w:t>replace the unscoped DefinePlugin with an explicit allow-list of the specific variables the app needs, so a CI secret or credential set in the build environment for an unrelated purpose can never leak into a public bundle by accident.</w:t>
      </w:r>
    </w:p>
    <w:p>
      <w:pPr>
        <w:pStyle w:val="Heading2"/>
      </w:pPr>
      <w:r>
        <w:t>5.2 Repository hygiene</w:t>
      </w:r>
    </w:p>
    <w:p>
      <w:pPr>
        <w:pStyle w:val="ListBullet"/>
      </w:pPr>
      <w:r>
        <w:t>dist/bundle.js and dist/bundle.js.LICENSE.txt are committed to git -- documented in Documentations/setup/01-local-development-setup.md as “a legacy habit from before CI existed,” and confirmed harmless for the live deploy (the pipeline rebuilds and publishes its own copy every time, per §8.1). Still worth noting: combined with §5.1, any secret ever accidentally baked into a locally-built dist/bundle.js and committed would persist in git history.</w:t>
      </w:r>
    </w:p>
    <w:p>
      <w:pPr>
        <w:pStyle w:val="ListBullet"/>
      </w:pPr>
      <w:r>
        <w:t>cookies.json (a Postman cookie-jar file, currently empty) is tracked in git, now moved to legacy/cookies.json as part of a repository cleanup pass. Empty today, but a cookie jar is exactly the kind of file that accidentally gains real session cookies during local debugging and then gets committed without anyone noticing -- recommend removing it from tracking entirely and adding it to .gitignore rather than leaving it archived.</w:t>
      </w:r>
    </w:p>
    <w:p>
      <w:pPr>
        <w:pStyle w:val="Heading1"/>
      </w:pPr>
      <w:r>
        <w:t>6. Client-Side Application Security</w:t>
      </w:r>
    </w:p>
    <w:p>
      <w:pPr>
        <w:pStyle w:val="Heading2"/>
      </w:pPr>
      <w:r>
        <w:t>6.1 No HTTP security headers</w:t>
      </w:r>
    </w:p>
    <w:p>
      <w:r>
        <w:t>Confirmed in code. nginx.conf configures gzip and cache headers only -- no Content-Security-Policy, X-Frame-Options, X-Content-Type-Options or Referrer-Policy anywhere. Recommended minimum addition:</w:t>
      </w:r>
    </w:p>
    <w:p>
      <w:pPr>
        <w:ind w:left="432"/>
      </w:pPr>
      <w:r>
        <w:rPr>
          <w:rFonts w:ascii="Consolas" w:hAnsi="Consolas"/>
          <w:sz w:val="19"/>
        </w:rPr>
        <w:t>add_header X-Content-Type-Options "nosniff" always;</w:t>
        <w:br/>
        <w:t>add_header X-Frame-Options "DENY" always;</w:t>
        <w:br/>
        <w:t>add_header Referrer-Policy "strict-origin-when-cross-origin" always;</w:t>
        <w:br/>
        <w:t>add_header Content-Security-Policy "default-src 'self'; connect-src 'self' https://live.api.smartrpdai.com; script-src 'self' https://cdnjs.cloudflare.com; ..." always;</w:t>
      </w:r>
    </w:p>
    <w:p>
      <w:r>
        <w:t>Note this nginx.conf is not what actually serves the live GitHub Pages site (§8.1) -- it matters for the optional local Docker preview path (Documentations/setup/01-local-development-setup.md §6) and for any future non-Pages deployment target. GitHub Pages' own header set should be checked separately, since it can't be configured from this repo.</w:t>
      </w:r>
    </w:p>
    <w:p>
      <w:pPr>
        <w:pStyle w:val="Heading2"/>
      </w:pPr>
      <w:r>
        <w:t>6.2 Third-party CDN scripts load without Subresource Integrity</w:t>
      </w:r>
    </w:p>
    <w:p>
      <w:r>
        <w:t>Confirmed in code. src/pages/case_list.html loads three scripts directly from cdnjs.cloudflare.com (jszip, html2canvas, qrcodejs) with no `integrity=` attribute:</w:t>
      </w:r>
    </w:p>
    <w:p>
      <w:pPr>
        <w:ind w:left="432"/>
      </w:pPr>
      <w:r>
        <w:rPr>
          <w:rFonts w:ascii="Consolas" w:hAnsi="Consolas"/>
          <w:sz w:val="19"/>
        </w:rPr>
        <w:t>&lt;script src="https://cdnjs.cloudflare.com/ajax/libs/jszip/3.10.1/jszip.min.js"&gt;&lt;/script&gt;</w:t>
        <w:br/>
        <w:t>&lt;script src="https://cdnjs.cloudflare.com/ajax/libs/html2canvas/1.4.1/html2canvas.min.js"&gt;&lt;/script&gt;</w:t>
        <w:br/>
        <w:t>&lt;script src="https://cdnjs.cloudflare.com/ajax/libs/qrcodejs/1.0.0/qrcode.min.js"&gt;&lt;/script&gt;</w:t>
      </w:r>
    </w:p>
    <w:p>
      <w:r>
        <w:t>Without SRI, a compromise of cdnjs (or a MITM on that connection, though HTTPS limits this) could serve modified JavaScript that runs with full access to this page's DOM, localStorage (including loggedInUser) and any in-page API calls. cdnjs publishes SRI hashes for every file it serves, so this is a low-cost fix.</w:t>
      </w:r>
    </w:p>
    <w:p>
      <w:r>
        <w:rPr>
          <w:b/>
        </w:rPr>
        <w:t xml:space="preserve">Protocol: </w:t>
      </w:r>
      <w:r>
        <w:t>add `integrity="sha384-..."` and `crossorigin="anonymous"` to all three script tags using the hashes cdnjs publishes for the pinned versions already in use.</w:t>
      </w:r>
    </w:p>
    <w:p>
      <w:pPr>
        <w:pStyle w:val="Heading2"/>
      </w:pPr>
      <w:r>
        <w:t>6.3 Session/identity state and XSS blast radius</w:t>
      </w:r>
    </w:p>
    <w:p>
      <w:r>
        <w:t>Session/identity state lives in localStorage (loggedInUser), readable by any script running in the page's origin. Standard for an SPA of this shape, but it means an XSS vulnerability anywhere in the app -- including via §6.2's unpinned CDN scripts -- would be sufficient to fully impersonate the logged-in session. Raises the value of §6.1's CSP recommendation as a defense-in-depth layer, not a checkbox.</w:t>
      </w:r>
    </w:p>
    <w:p>
      <w:pPr>
        <w:pStyle w:val="Heading2"/>
      </w:pPr>
      <w:r>
        <w:t>6.4 Help assistant (feature under active development) -- re-verified local-only, no data exfiltration</w:t>
      </w:r>
    </w:p>
    <w:p>
      <w:r>
        <w:t>The AI-powered help assistant (src/js/shared/helpMatcher.js, helpTopics.js, helpBot.js) was re-checked on this branch after two feature commits landed since the prior draft: an FAQ/fallback-guidance expansion (commit d583fbb, 2026-07-27) and reveal controls that click a topic's opener control before highlighting its target (commit e621194, 2026-07-28). Neither introduces an outbound network call -- a search for fetch/XMLHttpRequest/WebSocket across all three files returns nothing. It remains a local, rules-based text matcher over a static knowledge base bundled with the app; user questions typed into it are not sent to any third-party service. The reveal-control feature programmatically clicks existing UI controls and polls their visibility state -- it does not accept or render arbitrary HTML from user input. No finding here, re-confirmed given the feature grew substantially (helpBot.test.mjs: 71 -&gt; 94 tests) since the prior review.</w:t>
      </w:r>
    </w:p>
    <w:p>
      <w:pPr>
        <w:pStyle w:val="Heading1"/>
      </w:pPr>
      <w:r>
        <w:t>7. Cryptography and Data-in-Transit</w:t>
      </w:r>
    </w:p>
    <w:p>
      <w:pPr>
        <w:pStyle w:val="Heading2"/>
      </w:pPr>
      <w:r>
        <w:t>7.1 src/js/shared/crypt.js is obfuscation, not encryption — and is scoped correctly today</w:t>
      </w:r>
    </w:p>
    <w:p>
      <w:r>
        <w:t>Confirmed in code. The lol() function XORs input against a hardcoded static key and base64-encodes the result to obfuscate numeric case IDs in URLs. This provides no real confidentiality and the module's own comment correctly calls it obfuscation, not encryption. Its actual use -- making case-ID URLs non-obvious, not protecting genuinely sensitive data -- is defensible provided real access control happens server-side (§4.3) rather than relying on the case ID being unguessable.</w:t>
      </w:r>
    </w:p>
    <w:p>
      <w:r>
        <w:rPr>
          <w:b/>
        </w:rPr>
        <w:t xml:space="preserve">Protocol: </w:t>
      </w:r>
      <w:r>
        <w:t>keep lol() scoped to cosmetic URL obfuscation only; do not extend its use to anything needing genuine confidentiality without a real algorithm (e.g. AES-GCM via the Web Crypto API) and a non-hardcoded key.</w:t>
      </w:r>
    </w:p>
    <w:p>
      <w:pPr>
        <w:pStyle w:val="Heading2"/>
      </w:pPr>
      <w:r>
        <w:t>7.2 Transport encryption</w:t>
      </w:r>
    </w:p>
    <w:p>
      <w:r>
        <w:t>API calls to live.api.smartrpdai.com use https:// consistently. Confirm TLS termination and certificate configuration for the GitHub Pages live site (handled by GitHub automatically) and for any future non-Pages deployment target using nginx.conf -- that config currently defines only a plain port-80 server block with no TLS block of its own.</w:t>
      </w:r>
    </w:p>
    <w:p>
      <w:pPr>
        <w:pStyle w:val="Heading1"/>
      </w:pPr>
      <w:r>
        <w:t>8. Infrastructure and CI/CD Security</w:t>
      </w:r>
    </w:p>
    <w:p>
      <w:pPr>
        <w:pStyle w:val="Heading2"/>
      </w:pPr>
      <w:r>
        <w:t>8.1 GitHub Actions deploy pipeline — a real strength (positive finding)</w:t>
      </w:r>
    </w:p>
    <w:p>
      <w:r>
        <w:t>Confirmed by reading .github/workflows/deploy.yml directly. Every push to nyunt/dev-deploy runs: npm ci (deterministic, lockfile-pinned install) -&gt; npm run test:ci as a fail-closed gate (the job stops here if any test fails) -&gt; npm run build with an explicit dist/bundle.js existence check -&gt; a manifest.json build recording the commit SHA, run number, a sha256 digest over every tracked file plus the built bundle, and a timestamp -&gt; an atomic replace of the Pages branch content via git archive (preserving rollback history) -&gt; an explicit Pages rebuild API call (required because GITHUB_TOKEN pushes don't auto-trigger it). Coverage is also archived as a build artifact on every run. This is meaningfully better provenance than most projects this size have, and worth explicitly preserving rather than only auditing for gaps.</w:t>
      </w:r>
    </w:p>
    <w:p>
      <w:r>
        <w:rPr>
          <w:b/>
        </w:rPr>
        <w:t xml:space="preserve">Protocol: </w:t>
      </w:r>
      <w:r>
        <w:t>no change needed to the pipeline mechanics; the main risk to this strength is scope creep (e.g. a future contributor adding a deploy path that bypasses the test gate). Keep this workflow as the only way anything reaches the Pages branch.</w:t>
      </w:r>
    </w:p>
    <w:p>
      <w:pPr>
        <w:pStyle w:val="Heading2"/>
      </w:pPr>
      <w:r>
        <w:t>8.2 Retired Jenkins/EC2 pipeline no longer live</w:t>
      </w:r>
    </w:p>
    <w:p>
      <w:r>
        <w:t>A Jenkinsfile is still present in the repository (moved to legacy/Jenkinsfile in this cleanup pass) describing a `sudo rm -rf /var/www/html/*` + `sudo cp` deploy with no automated test gate. Documentations/setup/03-cicd-and-deployment-setup.md confirms this is retired history: local Jenkins was uninstalled 2026-07-17, and the nginx/EC2 production split it implies was never actually built. No live risk from this pipeline as of this draft -- flagged only so it isn't mistaken for an active deployment path by someone new to the repo, and so it doesn't quietly get resurrected without the same rigor as §8.1.</w:t>
      </w:r>
    </w:p>
    <w:p>
      <w:pPr>
        <w:pStyle w:val="Heading1"/>
      </w:pPr>
      <w:r>
        <w:t>9. Dependency and Supply-Chain Security</w:t>
      </w:r>
    </w:p>
    <w:p>
      <w:r>
        <w:t>`npm audit` against the current lockfile reports 27 known vulnerabilities (3 moderate, 23 high, 1 critical) as of this re-audit -- up from the 6 (3 moderate, 2 high, 1 critical) recorded in the prior draft on dev-deploy-shafik-2, even though package.json and package-lock.json are byte-for-byte identical between the two branches. The jump is almost entirely two npm advisories published since the prior draft was written, not a dependency or code change on this branch: a brace-expansion DoS advisory (GHSA-mh99-v99m-4gvg) that fans out through the entire Jest dependency tree (minimatch -&gt; glob -&gt; @jest/* -&gt; jest/jest-cli), and a PostCSS path-traversal advisory (GHSA-r28c-9q8g-f849). All 27 are transitive devDependencies (webpack-dev-server's sockjs/uuid chain, uglify-js pulled in via the unused top-level `require` package, a fast-uri host-confusion advisory, plus the two new ones above) -- none currently reach the production bundle, limiting real-world exploitability, but a dev-server or build-time issue is still a risk to anyone running `npm run dev` or CI itself.</w:t>
      </w:r>
    </w:p>
    <w:tbl>
      <w:tblPr>
        <w:tblStyle w:val="TableGrid"/>
        <w:tblW w:type="auto" w:w="0"/>
        <w:tblLook w:firstColumn="1" w:firstRow="1" w:lastColumn="0" w:lastRow="0" w:noHBand="0" w:noVBand="1" w:val="04A0"/>
      </w:tblPr>
      <w:tblGrid>
        <w:gridCol w:w="2160"/>
        <w:gridCol w:w="2160"/>
        <w:gridCol w:w="2160"/>
        <w:gridCol w:w="2160"/>
      </w:tblGrid>
      <w:tr>
        <w:tc>
          <w:tcPr>
            <w:tcW w:type="dxa" w:w="2304"/>
            <w:shd w:val="clear" w:color="auto" w:fill="D9D9D9"/>
          </w:tcPr>
          <w:p>
            <w:r>
              <w:rPr>
                <w:b/>
                <w:sz w:val="19"/>
              </w:rPr>
              <w:t>Package</w:t>
            </w:r>
          </w:p>
        </w:tc>
        <w:tc>
          <w:tcPr>
            <w:tcW w:type="dxa" w:w="1152"/>
            <w:shd w:val="clear" w:color="auto" w:fill="D9D9D9"/>
          </w:tcPr>
          <w:p>
            <w:r>
              <w:rPr>
                <w:b/>
                <w:sz w:val="19"/>
              </w:rPr>
              <w:t>Severity</w:t>
            </w:r>
          </w:p>
        </w:tc>
        <w:tc>
          <w:tcPr>
            <w:tcW w:type="dxa" w:w="3024"/>
            <w:shd w:val="clear" w:color="auto" w:fill="D9D9D9"/>
          </w:tcPr>
          <w:p>
            <w:r>
              <w:rPr>
                <w:b/>
                <w:sz w:val="19"/>
              </w:rPr>
              <w:t>Advisory</w:t>
            </w:r>
          </w:p>
        </w:tc>
        <w:tc>
          <w:tcPr>
            <w:tcW w:type="dxa" w:w="2880"/>
            <w:shd w:val="clear" w:color="auto" w:fill="D9D9D9"/>
          </w:tcPr>
          <w:p>
            <w:r>
              <w:rPr>
                <w:b/>
                <w:sz w:val="19"/>
              </w:rPr>
              <w:t>Notes</w:t>
            </w:r>
          </w:p>
        </w:tc>
      </w:tr>
      <w:tr>
        <w:tc>
          <w:tcPr>
            <w:tcW w:type="dxa" w:w="2304"/>
          </w:tcPr>
          <w:p>
            <w:r>
              <w:rPr>
                <w:sz w:val="19"/>
              </w:rPr>
              <w:t>uglify-js &lt;=2.5.0</w:t>
            </w:r>
          </w:p>
        </w:tc>
        <w:tc>
          <w:tcPr>
            <w:tcW w:type="dxa" w:w="1152"/>
          </w:tcPr>
          <w:p>
            <w:r>
              <w:rPr>
                <w:sz w:val="19"/>
              </w:rPr>
              <w:t>Critical</w:t>
            </w:r>
          </w:p>
        </w:tc>
        <w:tc>
          <w:tcPr>
            <w:tcW w:type="dxa" w:w="3024"/>
          </w:tcPr>
          <w:p>
            <w:r>
              <w:rPr>
                <w:sz w:val="19"/>
              </w:rPr>
              <w:t>ReDoS / minification correctness</w:t>
            </w:r>
          </w:p>
        </w:tc>
        <w:tc>
          <w:tcPr>
            <w:tcW w:type="dxa" w:w="2880"/>
          </w:tcPr>
          <w:p>
            <w:r>
              <w:rPr>
                <w:sz w:val="19"/>
              </w:rPr>
              <w:t>Pulled in via the unused top-level `require` dependency; consider removing `require` from package.json entirely.</w:t>
            </w:r>
          </w:p>
        </w:tc>
      </w:tr>
      <w:tr>
        <w:tc>
          <w:tcPr>
            <w:tcW w:type="dxa" w:w="2304"/>
          </w:tcPr>
          <w:p>
            <w:r>
              <w:rPr>
                <w:sz w:val="19"/>
              </w:rPr>
              <w:t>brace-expansion (via minimatch/glob/Jest toolchain)</w:t>
            </w:r>
          </w:p>
        </w:tc>
        <w:tc>
          <w:tcPr>
            <w:tcW w:type="dxa" w:w="1152"/>
          </w:tcPr>
          <w:p>
            <w:r>
              <w:rPr>
                <w:sz w:val="19"/>
              </w:rPr>
              <w:t>High</w:t>
            </w:r>
          </w:p>
        </w:tc>
        <w:tc>
          <w:tcPr>
            <w:tcW w:type="dxa" w:w="3024"/>
          </w:tcPr>
          <w:p>
            <w:r>
              <w:rPr>
                <w:sz w:val="19"/>
              </w:rPr>
              <w:t>DoS via unbounded expansion length (GHSA-mh99-v99m-4gvg)</w:t>
            </w:r>
          </w:p>
        </w:tc>
        <w:tc>
          <w:tcPr>
            <w:tcW w:type="dxa" w:w="2880"/>
          </w:tcPr>
          <w:p>
            <w:r>
              <w:rPr>
                <w:sz w:val="19"/>
              </w:rPr>
              <w:t>New advisory since the prior draft; fans out to 20+ Jest-toolchain packages. Fix requires `npm audit fix --force` (installs babel-jest@23.6.0, a breaking change) -- evaluate before applying.</w:t>
            </w:r>
          </w:p>
        </w:tc>
      </w:tr>
      <w:tr>
        <w:tc>
          <w:tcPr>
            <w:tcW w:type="dxa" w:w="2304"/>
          </w:tcPr>
          <w:p>
            <w:r>
              <w:rPr>
                <w:sz w:val="19"/>
              </w:rPr>
              <w:t>postcss &lt;=8.5.17</w:t>
            </w:r>
          </w:p>
        </w:tc>
        <w:tc>
          <w:tcPr>
            <w:tcW w:type="dxa" w:w="1152"/>
          </w:tcPr>
          <w:p>
            <w:r>
              <w:rPr>
                <w:sz w:val="19"/>
              </w:rPr>
              <w:t>High</w:t>
            </w:r>
          </w:p>
        </w:tc>
        <w:tc>
          <w:tcPr>
            <w:tcW w:type="dxa" w:w="3024"/>
          </w:tcPr>
          <w:p>
            <w:r>
              <w:rPr>
                <w:sz w:val="19"/>
              </w:rPr>
              <w:t>Path traversal in sourceMappingURL auto-loading (GHSA-r28c-9q8g-f849)</w:t>
            </w:r>
          </w:p>
        </w:tc>
        <w:tc>
          <w:tcPr>
            <w:tcW w:type="dxa" w:w="2880"/>
          </w:tcPr>
          <w:p>
            <w:r>
              <w:rPr>
                <w:sz w:val="19"/>
              </w:rPr>
              <w:t>New advisory since the prior draft. Fix available via `npm audit fix`.</w:t>
            </w:r>
          </w:p>
        </w:tc>
      </w:tr>
      <w:tr>
        <w:tc>
          <w:tcPr>
            <w:tcW w:type="dxa" w:w="2304"/>
          </w:tcPr>
          <w:p>
            <w:r>
              <w:rPr>
                <w:sz w:val="19"/>
              </w:rPr>
              <w:t>fast-uri 3.0.0-3.1.3</w:t>
            </w:r>
          </w:p>
        </w:tc>
        <w:tc>
          <w:tcPr>
            <w:tcW w:type="dxa" w:w="1152"/>
          </w:tcPr>
          <w:p>
            <w:r>
              <w:rPr>
                <w:sz w:val="19"/>
              </w:rPr>
              <w:t>High</w:t>
            </w:r>
          </w:p>
        </w:tc>
        <w:tc>
          <w:tcPr>
            <w:tcW w:type="dxa" w:w="3024"/>
          </w:tcPr>
          <w:p>
            <w:r>
              <w:rPr>
                <w:sz w:val="19"/>
              </w:rPr>
              <w:t>Host confusion via literal backslash authority delimiter</w:t>
            </w:r>
          </w:p>
        </w:tc>
        <w:tc>
          <w:tcPr>
            <w:tcW w:type="dxa" w:w="2880"/>
          </w:tcPr>
          <w:p>
            <w:r>
              <w:rPr>
                <w:sz w:val="19"/>
              </w:rPr>
              <w:t>Fix available via `npm audit fix`.</w:t>
            </w:r>
          </w:p>
        </w:tc>
      </w:tr>
      <w:tr>
        <w:tc>
          <w:tcPr>
            <w:tcW w:type="dxa" w:w="2304"/>
          </w:tcPr>
          <w:p>
            <w:r>
              <w:rPr>
                <w:sz w:val="19"/>
              </w:rPr>
              <w:t>uuid &lt;11.1.1</w:t>
            </w:r>
          </w:p>
        </w:tc>
        <w:tc>
          <w:tcPr>
            <w:tcW w:type="dxa" w:w="1152"/>
          </w:tcPr>
          <w:p>
            <w:r>
              <w:rPr>
                <w:sz w:val="19"/>
              </w:rPr>
              <w:t>Moderate</w:t>
            </w:r>
          </w:p>
        </w:tc>
        <w:tc>
          <w:tcPr>
            <w:tcW w:type="dxa" w:w="3024"/>
          </w:tcPr>
          <w:p>
            <w:r>
              <w:rPr>
                <w:sz w:val="19"/>
              </w:rPr>
              <w:t>Buffer bounds check</w:t>
            </w:r>
          </w:p>
        </w:tc>
        <w:tc>
          <w:tcPr>
            <w:tcW w:type="dxa" w:w="2880"/>
          </w:tcPr>
          <w:p>
            <w:r>
              <w:rPr>
                <w:sz w:val="19"/>
              </w:rPr>
              <w:t>Transitive via sockjs / webpack-dev-server.</w:t>
            </w:r>
          </w:p>
        </w:tc>
      </w:tr>
    </w:tbl>
    <w:p>
      <w:pPr>
        <w:spacing w:after="80"/>
      </w:pPr>
    </w:p>
    <w:p>
      <w:r>
        <w:rPr>
          <w:b/>
        </w:rPr>
        <w:t>Protocol: run `npm audit fix` for the non-breaking fixes (fast-uri, postcss); evaluate `npm audit fix --force` for the brace-expansion/Jest chain and the uglify-js/uuid chains separately, since both pull in breaking-change upgrades that need a full test-suite re-run before accepting; evaluate removing the unused `require` package to drop the uglify-js chain outright; keep `npm audit` as a release-checklist item so this list doesn't silently regrow, and re-run it whenever this document is revisited -- the registry's advisory database changes independently of this repository's own commits.</w:t>
      </w:r>
      <w:r/>
    </w:p>
    <w:p>
      <w:pPr>
        <w:pStyle w:val="Heading1"/>
      </w:pPr>
      <w:r>
        <w:t>10. Findings Summary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720"/>
            <w:shd w:val="clear" w:color="auto" w:fill="D9D9D9"/>
          </w:tcPr>
          <w:p>
            <w:r>
              <w:rPr>
                <w:b/>
                <w:sz w:val="19"/>
              </w:rPr>
              <w:t>ID</w:t>
            </w:r>
          </w:p>
        </w:tc>
        <w:tc>
          <w:tcPr>
            <w:tcW w:type="dxa" w:w="864"/>
            <w:shd w:val="clear" w:color="auto" w:fill="D9D9D9"/>
          </w:tcPr>
          <w:p>
            <w:r>
              <w:rPr>
                <w:b/>
                <w:sz w:val="19"/>
              </w:rPr>
              <w:t>Priority</w:t>
            </w:r>
          </w:p>
        </w:tc>
        <w:tc>
          <w:tcPr>
            <w:tcW w:type="dxa" w:w="4320"/>
            <w:shd w:val="clear" w:color="auto" w:fill="D9D9D9"/>
          </w:tcPr>
          <w:p>
            <w:r>
              <w:rPr>
                <w:b/>
                <w:sz w:val="19"/>
              </w:rPr>
              <w:t>Finding</w:t>
            </w:r>
          </w:p>
        </w:tc>
        <w:tc>
          <w:tcPr>
            <w:tcW w:type="dxa" w:w="2304"/>
            <w:shd w:val="clear" w:color="auto" w:fill="D9D9D9"/>
          </w:tcPr>
          <w:p>
            <w:r>
              <w:rPr>
                <w:b/>
                <w:sz w:val="19"/>
              </w:rPr>
              <w:t>Location</w:t>
            </w:r>
          </w:p>
        </w:tc>
        <w:tc>
          <w:tcPr>
            <w:tcW w:type="dxa" w:w="864"/>
            <w:shd w:val="clear" w:color="auto" w:fill="D9D9D9"/>
          </w:tcPr>
          <w:p>
            <w:r>
              <w:rPr>
                <w:b/>
                <w:sz w:val="19"/>
              </w:rPr>
              <w:t>Detail</w:t>
            </w:r>
          </w:p>
        </w:tc>
      </w:tr>
      <w:tr>
        <w:tc>
          <w:tcPr>
            <w:tcW w:type="dxa" w:w="720"/>
          </w:tcPr>
          <w:p>
            <w:r>
              <w:rPr>
                <w:sz w:val="19"/>
              </w:rPr>
              <w:t>F-1</w:t>
            </w:r>
          </w:p>
        </w:tc>
        <w:tc>
          <w:tcPr>
            <w:tcW w:type="dxa" w:w="864"/>
          </w:tcPr>
          <w:p>
            <w:r>
              <w:rPr>
                <w:b/>
                <w:color w:val="C00000"/>
                <w:sz w:val="19"/>
              </w:rPr>
              <w:t>P0</w:t>
            </w:r>
          </w:p>
        </w:tc>
        <w:tc>
          <w:tcPr>
            <w:tcW w:type="dxa" w:w="4320"/>
          </w:tcPr>
          <w:p>
            <w:r>
              <w:rPr>
                <w:sz w:val="19"/>
              </w:rPr>
              <w:t>Shared service-account plaintext credentials shipped to every client</w:t>
            </w:r>
          </w:p>
        </w:tc>
        <w:tc>
          <w:tcPr>
            <w:tcW w:type="dxa" w:w="2304"/>
          </w:tcPr>
          <w:p>
            <w:r>
              <w:rPr>
                <w:sz w:val="19"/>
              </w:rPr>
              <w:t>src/js/shared/config.js:14-24</w:t>
            </w:r>
          </w:p>
        </w:tc>
        <w:tc>
          <w:tcPr>
            <w:tcW w:type="dxa" w:w="864"/>
          </w:tcPr>
          <w:p>
            <w:r>
              <w:rPr>
                <w:sz w:val="19"/>
              </w:rPr>
              <w:t>§4.1</w:t>
            </w:r>
          </w:p>
        </w:tc>
      </w:tr>
      <w:tr>
        <w:tc>
          <w:tcPr>
            <w:tcW w:type="dxa" w:w="720"/>
          </w:tcPr>
          <w:p>
            <w:r>
              <w:rPr>
                <w:sz w:val="19"/>
              </w:rPr>
              <w:t>F-2</w:t>
            </w:r>
          </w:p>
        </w:tc>
        <w:tc>
          <w:tcPr>
            <w:tcW w:type="dxa" w:w="864"/>
          </w:tcPr>
          <w:p>
            <w:r>
              <w:rPr>
                <w:b/>
                <w:color w:val="E36C09"/>
                <w:sz w:val="19"/>
              </w:rPr>
              <w:t>P1</w:t>
            </w:r>
          </w:p>
        </w:tc>
        <w:tc>
          <w:tcPr>
            <w:tcW w:type="dxa" w:w="4320"/>
          </w:tcPr>
          <w:p>
            <w:r>
              <w:rPr>
                <w:sz w:val="19"/>
              </w:rPr>
              <w:t>OTP/MFA disabled via a temporary code path</w:t>
            </w:r>
          </w:p>
        </w:tc>
        <w:tc>
          <w:tcPr>
            <w:tcW w:type="dxa" w:w="2304"/>
          </w:tcPr>
          <w:p>
            <w:r>
              <w:rPr>
                <w:sz w:val="19"/>
              </w:rPr>
              <w:t>src/js/pages/login.js:160-193</w:t>
            </w:r>
          </w:p>
        </w:tc>
        <w:tc>
          <w:tcPr>
            <w:tcW w:type="dxa" w:w="864"/>
          </w:tcPr>
          <w:p>
            <w:r>
              <w:rPr>
                <w:sz w:val="19"/>
              </w:rPr>
              <w:t>§4.2</w:t>
            </w:r>
          </w:p>
        </w:tc>
      </w:tr>
      <w:tr>
        <w:tc>
          <w:tcPr>
            <w:tcW w:type="dxa" w:w="720"/>
          </w:tcPr>
          <w:p>
            <w:r>
              <w:rPr>
                <w:sz w:val="19"/>
              </w:rPr>
              <w:t>F-3</w:t>
            </w:r>
          </w:p>
        </w:tc>
        <w:tc>
          <w:tcPr>
            <w:tcW w:type="dxa" w:w="864"/>
          </w:tcPr>
          <w:p>
            <w:r>
              <w:rPr>
                <w:b/>
                <w:color w:val="E36C09"/>
                <w:sz w:val="19"/>
              </w:rPr>
              <w:t>P1</w:t>
            </w:r>
          </w:p>
        </w:tc>
        <w:tc>
          <w:tcPr>
            <w:tcW w:type="dxa" w:w="4320"/>
          </w:tcPr>
          <w:p>
            <w:r>
              <w:rPr>
                <w:sz w:val="19"/>
              </w:rPr>
              <w:t>Route guard is client-side (localStorage check); admin module shows a better pattern</w:t>
            </w:r>
          </w:p>
        </w:tc>
        <w:tc>
          <w:tcPr>
            <w:tcW w:type="dxa" w:w="2304"/>
          </w:tcPr>
          <w:p>
            <w:r>
              <w:rPr>
                <w:sz w:val="19"/>
              </w:rPr>
              <w:t>src/js/pages/viewerShell.js; src/js/admin/</w:t>
            </w:r>
          </w:p>
        </w:tc>
        <w:tc>
          <w:tcPr>
            <w:tcW w:type="dxa" w:w="864"/>
          </w:tcPr>
          <w:p>
            <w:r>
              <w:rPr>
                <w:sz w:val="19"/>
              </w:rPr>
              <w:t>§4.3</w:t>
            </w:r>
          </w:p>
        </w:tc>
      </w:tr>
      <w:tr>
        <w:tc>
          <w:tcPr>
            <w:tcW w:type="dxa" w:w="720"/>
          </w:tcPr>
          <w:p>
            <w:r>
              <w:rPr>
                <w:sz w:val="19"/>
              </w:rPr>
              <w:t>F-4</w:t>
            </w:r>
          </w:p>
        </w:tc>
        <w:tc>
          <w:tcPr>
            <w:tcW w:type="dxa" w:w="864"/>
          </w:tcPr>
          <w:p>
            <w:r>
              <w:rPr>
                <w:b/>
                <w:color w:val="E36C09"/>
                <w:sz w:val="19"/>
              </w:rPr>
              <w:t>P1</w:t>
            </w:r>
          </w:p>
        </w:tc>
        <w:tc>
          <w:tcPr>
            <w:tcW w:type="dxa" w:w="4320"/>
          </w:tcPr>
          <w:p>
            <w:r>
              <w:rPr>
                <w:sz w:val="19"/>
              </w:rPr>
              <w:t>Signed-in password change proves mailbox access, not current password; min length is client-only</w:t>
            </w:r>
          </w:p>
        </w:tc>
        <w:tc>
          <w:tcPr>
            <w:tcW w:type="dxa" w:w="2304"/>
          </w:tcPr>
          <w:p>
            <w:r>
              <w:rPr>
                <w:sz w:val="19"/>
              </w:rPr>
              <w:t>src/js/shared/passwordReset.js</w:t>
            </w:r>
          </w:p>
        </w:tc>
        <w:tc>
          <w:tcPr>
            <w:tcW w:type="dxa" w:w="864"/>
          </w:tcPr>
          <w:p>
            <w:r>
              <w:rPr>
                <w:sz w:val="19"/>
              </w:rPr>
              <w:t>§4.4</w:t>
            </w:r>
          </w:p>
        </w:tc>
      </w:tr>
      <w:tr>
        <w:tc>
          <w:tcPr>
            <w:tcW w:type="dxa" w:w="720"/>
          </w:tcPr>
          <w:p>
            <w:r>
              <w:rPr>
                <w:sz w:val="19"/>
              </w:rPr>
              <w:t>F-5</w:t>
            </w:r>
          </w:p>
        </w:tc>
        <w:tc>
          <w:tcPr>
            <w:tcW w:type="dxa" w:w="864"/>
          </w:tcPr>
          <w:p>
            <w:r>
              <w:rPr>
                <w:b/>
                <w:color w:val="E36C09"/>
                <w:sz w:val="19"/>
              </w:rPr>
              <w:t>P1</w:t>
            </w:r>
          </w:p>
        </w:tc>
        <w:tc>
          <w:tcPr>
            <w:tcW w:type="dxa" w:w="4320"/>
          </w:tcPr>
          <w:p>
            <w:r>
              <w:rPr>
                <w:sz w:val="19"/>
              </w:rPr>
              <w:t>Entire build-time process.env injected into the public bundle</w:t>
            </w:r>
          </w:p>
        </w:tc>
        <w:tc>
          <w:tcPr>
            <w:tcW w:type="dxa" w:w="2304"/>
          </w:tcPr>
          <w:p>
            <w:r>
              <w:rPr>
                <w:sz w:val="19"/>
              </w:rPr>
              <w:t>webpack.config.js</w:t>
            </w:r>
          </w:p>
        </w:tc>
        <w:tc>
          <w:tcPr>
            <w:tcW w:type="dxa" w:w="864"/>
          </w:tcPr>
          <w:p>
            <w:r>
              <w:rPr>
                <w:sz w:val="19"/>
              </w:rPr>
              <w:t>§5.1</w:t>
            </w:r>
          </w:p>
        </w:tc>
      </w:tr>
      <w:tr>
        <w:tc>
          <w:tcPr>
            <w:tcW w:type="dxa" w:w="720"/>
          </w:tcPr>
          <w:p>
            <w:r>
              <w:rPr>
                <w:sz w:val="19"/>
              </w:rPr>
              <w:t>F-6</w:t>
            </w:r>
          </w:p>
        </w:tc>
        <w:tc>
          <w:tcPr>
            <w:tcW w:type="dxa" w:w="864"/>
          </w:tcPr>
          <w:p>
            <w:r>
              <w:rPr>
                <w:b/>
                <w:color w:val="E36C09"/>
                <w:sz w:val="19"/>
              </w:rPr>
              <w:t>P1</w:t>
            </w:r>
          </w:p>
        </w:tc>
        <w:tc>
          <w:tcPr>
            <w:tcW w:type="dxa" w:w="4320"/>
          </w:tcPr>
          <w:p>
            <w:r>
              <w:rPr>
                <w:sz w:val="19"/>
              </w:rPr>
              <w:t>No HTTP security headers (CSP/X-Frame-Options/etc.)</w:t>
            </w:r>
          </w:p>
        </w:tc>
        <w:tc>
          <w:tcPr>
            <w:tcW w:type="dxa" w:w="2304"/>
          </w:tcPr>
          <w:p>
            <w:r>
              <w:rPr>
                <w:sz w:val="19"/>
              </w:rPr>
              <w:t>nginx.conf</w:t>
            </w:r>
          </w:p>
        </w:tc>
        <w:tc>
          <w:tcPr>
            <w:tcW w:type="dxa" w:w="864"/>
          </w:tcPr>
          <w:p>
            <w:r>
              <w:rPr>
                <w:sz w:val="19"/>
              </w:rPr>
              <w:t>§6.1</w:t>
            </w:r>
          </w:p>
        </w:tc>
      </w:tr>
      <w:tr>
        <w:tc>
          <w:tcPr>
            <w:tcW w:type="dxa" w:w="720"/>
          </w:tcPr>
          <w:p>
            <w:r>
              <w:rPr>
                <w:sz w:val="19"/>
              </w:rPr>
              <w:t>F-7</w:t>
            </w:r>
          </w:p>
        </w:tc>
        <w:tc>
          <w:tcPr>
            <w:tcW w:type="dxa" w:w="864"/>
          </w:tcPr>
          <w:p>
            <w:r>
              <w:rPr>
                <w:b/>
                <w:color w:val="E36C09"/>
                <w:sz w:val="19"/>
              </w:rPr>
              <w:t>P1</w:t>
            </w:r>
          </w:p>
        </w:tc>
        <w:tc>
          <w:tcPr>
            <w:tcW w:type="dxa" w:w="4320"/>
          </w:tcPr>
          <w:p>
            <w:r>
              <w:rPr>
                <w:sz w:val="19"/>
              </w:rPr>
              <w:t>Third-party CDN scripts (jszip, html2canvas, qrcodejs) load with no Subresource Integrity</w:t>
            </w:r>
          </w:p>
        </w:tc>
        <w:tc>
          <w:tcPr>
            <w:tcW w:type="dxa" w:w="2304"/>
          </w:tcPr>
          <w:p>
            <w:r>
              <w:rPr>
                <w:sz w:val="19"/>
              </w:rPr>
              <w:t>src/pages/case_list.html</w:t>
            </w:r>
          </w:p>
        </w:tc>
        <w:tc>
          <w:tcPr>
            <w:tcW w:type="dxa" w:w="864"/>
          </w:tcPr>
          <w:p>
            <w:r>
              <w:rPr>
                <w:sz w:val="19"/>
              </w:rPr>
              <w:t>§6.2</w:t>
            </w:r>
          </w:p>
        </w:tc>
      </w:tr>
      <w:tr>
        <w:tc>
          <w:tcPr>
            <w:tcW w:type="dxa" w:w="720"/>
          </w:tcPr>
          <w:p>
            <w:r>
              <w:rPr>
                <w:sz w:val="19"/>
              </w:rPr>
              <w:t>F-8</w:t>
            </w:r>
          </w:p>
        </w:tc>
        <w:tc>
          <w:tcPr>
            <w:tcW w:type="dxa" w:w="864"/>
          </w:tcPr>
          <w:p>
            <w:r>
              <w:rPr>
                <w:b/>
                <w:color w:val="BF9000"/>
                <w:sz w:val="19"/>
              </w:rPr>
              <w:t>P2</w:t>
            </w:r>
          </w:p>
        </w:tc>
        <w:tc>
          <w:tcPr>
            <w:tcW w:type="dxa" w:w="4320"/>
          </w:tcPr>
          <w:p>
            <w:r>
              <w:rPr>
                <w:sz w:val="19"/>
              </w:rPr>
              <w:t>Built bundle (dist/bundle.js) committed to git, compounding F-5</w:t>
            </w:r>
          </w:p>
        </w:tc>
        <w:tc>
          <w:tcPr>
            <w:tcW w:type="dxa" w:w="2304"/>
          </w:tcPr>
          <w:p>
            <w:r>
              <w:rPr>
                <w:sz w:val="19"/>
              </w:rPr>
              <w:t>dist/bundle.js</w:t>
            </w:r>
          </w:p>
        </w:tc>
        <w:tc>
          <w:tcPr>
            <w:tcW w:type="dxa" w:w="864"/>
          </w:tcPr>
          <w:p>
            <w:r>
              <w:rPr>
                <w:sz w:val="19"/>
              </w:rPr>
              <w:t>§5.2</w:t>
            </w:r>
          </w:p>
        </w:tc>
      </w:tr>
      <w:tr>
        <w:tc>
          <w:tcPr>
            <w:tcW w:type="dxa" w:w="720"/>
          </w:tcPr>
          <w:p>
            <w:r>
              <w:rPr>
                <w:sz w:val="19"/>
              </w:rPr>
              <w:t>F-9</w:t>
            </w:r>
          </w:p>
        </w:tc>
        <w:tc>
          <w:tcPr>
            <w:tcW w:type="dxa" w:w="864"/>
          </w:tcPr>
          <w:p>
            <w:r>
              <w:rPr>
                <w:b/>
                <w:color w:val="BF9000"/>
                <w:sz w:val="19"/>
              </w:rPr>
              <w:t>P2</w:t>
            </w:r>
          </w:p>
        </w:tc>
        <w:tc>
          <w:tcPr>
            <w:tcW w:type="dxa" w:w="4320"/>
          </w:tcPr>
          <w:p>
            <w:r>
              <w:rPr>
                <w:sz w:val="19"/>
              </w:rPr>
              <w:t>Tracked empty cookie-jar file (now legacy/cookies.json) — hygiene risk</w:t>
            </w:r>
          </w:p>
        </w:tc>
        <w:tc>
          <w:tcPr>
            <w:tcW w:type="dxa" w:w="2304"/>
          </w:tcPr>
          <w:p>
            <w:r>
              <w:rPr>
                <w:sz w:val="19"/>
              </w:rPr>
              <w:t>legacy/cookies.json</w:t>
            </w:r>
          </w:p>
        </w:tc>
        <w:tc>
          <w:tcPr>
            <w:tcW w:type="dxa" w:w="864"/>
          </w:tcPr>
          <w:p>
            <w:r>
              <w:rPr>
                <w:sz w:val="19"/>
              </w:rPr>
              <w:t>§5.2</w:t>
            </w:r>
          </w:p>
        </w:tc>
      </w:tr>
      <w:tr>
        <w:tc>
          <w:tcPr>
            <w:tcW w:type="dxa" w:w="720"/>
          </w:tcPr>
          <w:p>
            <w:r>
              <w:rPr>
                <w:sz w:val="19"/>
              </w:rPr>
              <w:t>F-10</w:t>
            </w:r>
          </w:p>
        </w:tc>
        <w:tc>
          <w:tcPr>
            <w:tcW w:type="dxa" w:w="864"/>
          </w:tcPr>
          <w:p>
            <w:r>
              <w:rPr>
                <w:b/>
                <w:color w:val="BF9000"/>
                <w:sz w:val="19"/>
              </w:rPr>
              <w:t>P2</w:t>
            </w:r>
          </w:p>
        </w:tc>
        <w:tc>
          <w:tcPr>
            <w:tcW w:type="dxa" w:w="4320"/>
          </w:tcPr>
          <w:p>
            <w:r>
              <w:rPr>
                <w:sz w:val="19"/>
              </w:rPr>
              <w:t>27 known dependency vulnerabilities (dev-only today; up from 6 due to two new registry advisories, not a code change)</w:t>
            </w:r>
          </w:p>
        </w:tc>
        <w:tc>
          <w:tcPr>
            <w:tcW w:type="dxa" w:w="2304"/>
          </w:tcPr>
          <w:p>
            <w:r>
              <w:rPr>
                <w:sz w:val="19"/>
              </w:rPr>
              <w:t>package-lock.json</w:t>
            </w:r>
          </w:p>
        </w:tc>
        <w:tc>
          <w:tcPr>
            <w:tcW w:type="dxa" w:w="864"/>
          </w:tcPr>
          <w:p>
            <w:r>
              <w:rPr>
                <w:sz w:val="19"/>
              </w:rPr>
              <w:t>§9</w:t>
            </w:r>
          </w:p>
        </w:tc>
      </w:tr>
      <w:tr>
        <w:tc>
          <w:tcPr>
            <w:tcW w:type="dxa" w:w="720"/>
          </w:tcPr>
          <w:p>
            <w:r>
              <w:rPr>
                <w:sz w:val="19"/>
              </w:rPr>
              <w:t>F-11</w:t>
            </w:r>
          </w:p>
        </w:tc>
        <w:tc>
          <w:tcPr>
            <w:tcW w:type="dxa" w:w="864"/>
          </w:tcPr>
          <w:p>
            <w:r>
              <w:rPr>
                <w:b/>
                <w:color w:val="BF9000"/>
                <w:sz w:val="19"/>
              </w:rPr>
              <w:t>P2</w:t>
            </w:r>
          </w:p>
        </w:tc>
        <w:tc>
          <w:tcPr>
            <w:tcW w:type="dxa" w:w="4320"/>
          </w:tcPr>
          <w:p>
            <w:r>
              <w:rPr>
                <w:sz w:val="19"/>
              </w:rPr>
              <w:t>crypt.js naming/comments invite future misuse beyond its safe cosmetic scope</w:t>
            </w:r>
          </w:p>
        </w:tc>
        <w:tc>
          <w:tcPr>
            <w:tcW w:type="dxa" w:w="2304"/>
          </w:tcPr>
          <w:p>
            <w:r>
              <w:rPr>
                <w:sz w:val="19"/>
              </w:rPr>
              <w:t>src/js/shared/crypt.js</w:t>
            </w:r>
          </w:p>
        </w:tc>
        <w:tc>
          <w:tcPr>
            <w:tcW w:type="dxa" w:w="864"/>
          </w:tcPr>
          <w:p>
            <w:r>
              <w:rPr>
                <w:sz w:val="19"/>
              </w:rPr>
              <w:t>§7.1</w:t>
            </w:r>
          </w:p>
        </w:tc>
      </w:tr>
      <w:tr>
        <w:tc>
          <w:tcPr>
            <w:tcW w:type="dxa" w:w="720"/>
          </w:tcPr>
          <w:p>
            <w:r>
              <w:rPr>
                <w:sz w:val="19"/>
              </w:rPr>
              <w:t>F-12</w:t>
            </w:r>
          </w:p>
        </w:tc>
        <w:tc>
          <w:tcPr>
            <w:tcW w:type="dxa" w:w="864"/>
          </w:tcPr>
          <w:p>
            <w:r>
              <w:rPr>
                <w:b/>
                <w:color w:val="808080"/>
                <w:sz w:val="19"/>
              </w:rPr>
              <w:t>P3</w:t>
            </w:r>
          </w:p>
        </w:tc>
        <w:tc>
          <w:tcPr>
            <w:tcW w:type="dxa" w:w="4320"/>
          </w:tcPr>
          <w:p>
            <w:r>
              <w:rPr>
                <w:sz w:val="19"/>
              </w:rPr>
              <w:t>Retired Jenkinsfile could be mistaken for a live pipeline by a newcomer</w:t>
            </w:r>
          </w:p>
        </w:tc>
        <w:tc>
          <w:tcPr>
            <w:tcW w:type="dxa" w:w="2304"/>
          </w:tcPr>
          <w:p>
            <w:r>
              <w:rPr>
                <w:sz w:val="19"/>
              </w:rPr>
              <w:t>legacy/Jenkinsfile</w:t>
            </w:r>
          </w:p>
        </w:tc>
        <w:tc>
          <w:tcPr>
            <w:tcW w:type="dxa" w:w="864"/>
          </w:tcPr>
          <w:p>
            <w:r>
              <w:rPr>
                <w:sz w:val="19"/>
              </w:rPr>
              <w:t>§8.2</w:t>
            </w:r>
          </w:p>
        </w:tc>
      </w:tr>
      <w:tr>
        <w:tc>
          <w:tcPr>
            <w:tcW w:type="dxa" w:w="720"/>
          </w:tcPr>
          <w:p>
            <w:r>
              <w:rPr>
                <w:sz w:val="19"/>
              </w:rPr>
              <w:t>F-13</w:t>
            </w:r>
          </w:p>
        </w:tc>
        <w:tc>
          <w:tcPr>
            <w:tcW w:type="dxa" w:w="864"/>
          </w:tcPr>
          <w:p>
            <w:r>
              <w:rPr>
                <w:b/>
                <w:color w:val="808080"/>
                <w:sz w:val="19"/>
              </w:rPr>
              <w:t>P3</w:t>
            </w:r>
          </w:p>
        </w:tc>
        <w:tc>
          <w:tcPr>
            <w:tcW w:type="dxa" w:w="4320"/>
          </w:tcPr>
          <w:p>
            <w:r>
              <w:rPr>
                <w:sz w:val="19"/>
              </w:rPr>
              <w:t>No confirmed data-classification / regulatory regime for clinical case data</w:t>
            </w:r>
          </w:p>
        </w:tc>
        <w:tc>
          <w:tcPr>
            <w:tcW w:type="dxa" w:w="2304"/>
          </w:tcPr>
          <w:p>
            <w:r>
              <w:rPr>
                <w:sz w:val="19"/>
              </w:rPr>
              <w:t>—</w:t>
            </w:r>
          </w:p>
        </w:tc>
        <w:tc>
          <w:tcPr>
            <w:tcW w:type="dxa" w:w="864"/>
          </w:tcPr>
          <w:p>
            <w:r>
              <w:rPr>
                <w:sz w:val="19"/>
              </w:rPr>
              <w:t>§3</w:t>
            </w:r>
          </w:p>
        </w:tc>
      </w:tr>
    </w:tbl>
    <w:p>
      <w:pPr>
        <w:spacing w:after="80"/>
      </w:pPr>
    </w:p>
    <w:p>
      <w:r>
        <w:t>Positive findings (not defects, called out so they aren't lost when this list is actioned): the GitHub Actions deploy pipeline's fail-closed test gate and sha256 manifest (§8.1), the admin module's server-authoritative pattern (§4.3), the resolved auto_user URL token issue (§4.6), the login flow's same-origin redirect check (§4.5), and the help assistant's confirmed local-only operation (§6.4).</w:t>
      </w:r>
    </w:p>
    <w:p>
      <w:pPr>
        <w:pStyle w:val="Heading1"/>
      </w:pPr>
      <w:r>
        <w:t>11. Roles and Responsibilities</w:t>
      </w:r>
    </w:p>
    <w:tbl>
      <w:tblPr>
        <w:tblStyle w:val="TableGrid"/>
        <w:tblW w:type="auto" w:w="0"/>
        <w:tblLook w:firstColumn="1" w:firstRow="1" w:lastColumn="0" w:lastRow="0" w:noHBand="0" w:noVBand="1" w:val="04A0"/>
      </w:tblPr>
      <w:tblGrid>
        <w:gridCol w:w="4320"/>
        <w:gridCol w:w="4320"/>
      </w:tblGrid>
      <w:tr>
        <w:tc>
          <w:tcPr>
            <w:tcW w:type="dxa" w:w="2304"/>
            <w:shd w:val="clear" w:color="auto" w:fill="D9D9D9"/>
          </w:tcPr>
          <w:p>
            <w:r>
              <w:rPr>
                <w:b/>
                <w:sz w:val="19"/>
              </w:rPr>
              <w:t>Role</w:t>
            </w:r>
          </w:p>
        </w:tc>
        <w:tc>
          <w:tcPr>
            <w:tcW w:type="dxa" w:w="7056"/>
            <w:shd w:val="clear" w:color="auto" w:fill="D9D9D9"/>
          </w:tcPr>
          <w:p>
            <w:r>
              <w:rPr>
                <w:b/>
                <w:sz w:val="19"/>
              </w:rPr>
              <w:t>Responsibility</w:t>
            </w:r>
          </w:p>
        </w:tc>
      </w:tr>
      <w:tr>
        <w:tc>
          <w:tcPr>
            <w:tcW w:type="dxa" w:w="2304"/>
          </w:tcPr>
          <w:p>
            <w:r>
              <w:rPr>
                <w:sz w:val="19"/>
              </w:rPr>
              <w:t>Developer(s)</w:t>
            </w:r>
          </w:p>
        </w:tc>
        <w:tc>
          <w:tcPr>
            <w:tcW w:type="dxa" w:w="7056"/>
          </w:tcPr>
          <w:p>
            <w:r>
              <w:rPr>
                <w:sz w:val="19"/>
              </w:rPr>
              <w:t>Implement the protocol items assigned to them; never reintroduce a plaintext credential, unscoped env injection, or unpinned third-party script once removed; run npm audit before release.</w:t>
            </w:r>
          </w:p>
        </w:tc>
      </w:tr>
      <w:tr>
        <w:tc>
          <w:tcPr>
            <w:tcW w:type="dxa" w:w="2304"/>
          </w:tcPr>
          <w:p>
            <w:r>
              <w:rPr>
                <w:sz w:val="19"/>
              </w:rPr>
              <w:t>Test Coordinator / QA</w:t>
            </w:r>
          </w:p>
        </w:tc>
        <w:tc>
          <w:tcPr>
            <w:tcW w:type="dxa" w:w="7056"/>
          </w:tcPr>
          <w:p>
            <w:r>
              <w:rPr>
                <w:sz w:val="19"/>
              </w:rPr>
              <w:t>Fold P0/P1 findings from §10 into whatever task-tracking this branch uses; confirm OTP's actual current state is reflected in UAT documentation before the next UAT round.</w:t>
            </w:r>
          </w:p>
        </w:tc>
      </w:tr>
      <w:tr>
        <w:tc>
          <w:tcPr>
            <w:tcW w:type="dxa" w:w="2304"/>
          </w:tcPr>
          <w:p>
            <w:r>
              <w:rPr>
                <w:sz w:val="19"/>
              </w:rPr>
              <w:t>DevOps / Deployment Owner</w:t>
            </w:r>
          </w:p>
        </w:tc>
        <w:tc>
          <w:tcPr>
            <w:tcW w:type="dxa" w:w="7056"/>
          </w:tcPr>
          <w:p>
            <w:r>
              <w:rPr>
                <w:sz w:val="19"/>
              </w:rPr>
              <w:t>Own the nginx security-header rollout (§6.1) and the SRI fix (§6.2); keep the GitHub Actions pipeline (§8.1) as the only live deploy path.</w:t>
            </w:r>
          </w:p>
        </w:tc>
      </w:tr>
      <w:tr>
        <w:tc>
          <w:tcPr>
            <w:tcW w:type="dxa" w:w="2304"/>
          </w:tcPr>
          <w:p>
            <w:r>
              <w:rPr>
                <w:sz w:val="19"/>
              </w:rPr>
              <w:t>Approving Authority</w:t>
            </w:r>
          </w:p>
        </w:tc>
        <w:tc>
          <w:tcPr>
            <w:tcW w:type="dxa" w:w="7056"/>
          </w:tcPr>
          <w:p>
            <w:r>
              <w:rPr>
                <w:sz w:val="19"/>
              </w:rPr>
              <w:t>Reviews and signs off this document before it is treated as the governing protocol; risk-accepts in writing any P0/P1 item the team chooses to defer.</w:t>
            </w:r>
          </w:p>
        </w:tc>
      </w:tr>
    </w:tbl>
    <w:p>
      <w:pPr>
        <w:spacing w:after="80"/>
      </w:pPr>
    </w:p>
    <w:p>
      <w:pPr>
        <w:pStyle w:val="Heading1"/>
      </w:pPr>
      <w:r>
        <w:t>12. Remediation Roadmap</w:t>
      </w:r>
    </w:p>
    <w:p>
      <w:pPr>
        <w:pStyle w:val="ListNumber"/>
      </w:pPr>
      <w:r>
        <w:t>Immediate: rotate the credential in src/js/shared/config.js (F-1) -- already exposed in git history and cannot be un-published; add SRI attributes to the three CDN scripts in case_list.html (F-7, low cost, high value); remove legacy/cookies.json from tracking entirely and add it to .gitignore (F-9).</w:t>
      </w:r>
    </w:p>
    <w:p>
      <w:pPr>
        <w:pStyle w:val="ListNumber"/>
      </w:pPr>
      <w:r>
        <w:t>Near-term: scope webpack's DefinePlugin to an explicit variable allow-list (F-5); add baseline HTTP security headers to nginx.conf (F-6); decide and document OTP's intended state (F-2); add current-password verification (or equivalent re-auth) to the signed-in change-password path (F-4).</w:t>
      </w:r>
    </w:p>
    <w:p>
      <w:pPr>
        <w:pStyle w:val="ListNumber"/>
      </w:pPr>
      <w:r>
        <w:t>Medium-term: design and implement server-side session issuance to replace the shared-credential model entirely (F-1, F-3), generalizing the admin module's server-authoritative pattern to the rest of the app.</w:t>
      </w:r>
    </w:p>
    <w:p>
      <w:pPr>
        <w:pStyle w:val="ListNumber"/>
      </w:pPr>
      <w:r>
        <w:t>Ongoing: npm audit as a release-checklist item (F-10); periodic review of this document alongside every security-relevant change.</w:t>
      </w:r>
    </w:p>
    <w:p>
      <w:pPr>
        <w:pStyle w:val="Heading1"/>
      </w:pPr>
      <w:r>
        <w:t>13. Document Control</w:t>
      </w:r>
    </w:p>
    <w:tbl>
      <w:tblPr>
        <w:tblStyle w:val="TableGrid"/>
        <w:tblW w:type="auto" w:w="0"/>
        <w:tblLook w:firstColumn="1" w:firstRow="1" w:lastColumn="0" w:lastRow="0" w:noHBand="0" w:noVBand="1" w:val="04A0"/>
      </w:tblPr>
      <w:tblGrid>
        <w:gridCol w:w="4320"/>
        <w:gridCol w:w="4320"/>
      </w:tblGrid>
      <w:tr>
        <w:tc>
          <w:tcPr>
            <w:tcW w:type="dxa" w:w="2448"/>
            <w:shd w:val="clear" w:color="auto" w:fill="D9D9D9"/>
          </w:tcPr>
          <w:p>
            <w:r>
              <w:rPr>
                <w:b/>
                <w:sz w:val="19"/>
              </w:rPr>
              <w:t>Field</w:t>
            </w:r>
          </w:p>
        </w:tc>
        <w:tc>
          <w:tcPr>
            <w:tcW w:type="dxa" w:w="6912"/>
            <w:shd w:val="clear" w:color="auto" w:fill="D9D9D9"/>
          </w:tcPr>
          <w:p>
            <w:r>
              <w:rPr>
                <w:b/>
                <w:sz w:val="19"/>
              </w:rPr>
              <w:t>Value</w:t>
            </w:r>
          </w:p>
        </w:tc>
      </w:tr>
      <w:tr>
        <w:tc>
          <w:tcPr>
            <w:tcW w:type="dxa" w:w="2448"/>
          </w:tcPr>
          <w:p>
            <w:r>
              <w:rPr>
                <w:sz w:val="19"/>
              </w:rPr>
              <w:t>Document Type</w:t>
            </w:r>
          </w:p>
        </w:tc>
        <w:tc>
          <w:tcPr>
            <w:tcW w:type="dxa" w:w="6912"/>
          </w:tcPr>
          <w:p>
            <w:r>
              <w:rPr>
                <w:sz w:val="19"/>
              </w:rPr>
              <w:t>Cybersecurity Protocol Document (first draft)</w:t>
            </w:r>
          </w:p>
        </w:tc>
      </w:tr>
      <w:tr>
        <w:tc>
          <w:tcPr>
            <w:tcW w:type="dxa" w:w="2448"/>
          </w:tcPr>
          <w:p>
            <w:r>
              <w:rPr>
                <w:sz w:val="19"/>
              </w:rPr>
              <w:t>Application</w:t>
            </w:r>
          </w:p>
        </w:tc>
        <w:tc>
          <w:tcPr>
            <w:tcW w:type="dxa" w:w="6912"/>
          </w:tcPr>
          <w:p>
            <w:r>
              <w:rPr>
                <w:sz w:val="19"/>
              </w:rPr>
              <w:t>SmartRPD Web Application</w:t>
            </w:r>
          </w:p>
        </w:tc>
      </w:tr>
      <w:tr>
        <w:tc>
          <w:tcPr>
            <w:tcW w:type="dxa" w:w="2448"/>
          </w:tcPr>
          <w:p>
            <w:r>
              <w:rPr>
                <w:sz w:val="19"/>
              </w:rPr>
              <w:t>Environment Reviewed</w:t>
            </w:r>
          </w:p>
        </w:tc>
        <w:tc>
          <w:tcPr>
            <w:tcW w:type="dxa" w:w="6912"/>
          </w:tcPr>
          <w:p>
            <w:r>
              <w:rPr>
                <w:sz w:val="19"/>
              </w:rPr>
              <w:t>nyunt/dev-W7.1, the live branch (built from dev-deploy-documentation @ e621194; frontend repository only — see §1 Scope)</w:t>
            </w:r>
          </w:p>
        </w:tc>
      </w:tr>
      <w:tr>
        <w:tc>
          <w:tcPr>
            <w:tcW w:type="dxa" w:w="2448"/>
          </w:tcPr>
          <w:p>
            <w:r>
              <w:rPr>
                <w:sz w:val="19"/>
              </w:rPr>
              <w:t>Last Updated</w:t>
            </w:r>
          </w:p>
        </w:tc>
        <w:tc>
          <w:tcPr>
            <w:tcW w:type="dxa" w:w="6912"/>
          </w:tcPr>
          <w:p>
            <w:r>
              <w:rPr>
                <w:sz w:val="19"/>
              </w:rPr>
              <w:t>31 July 2026</w:t>
            </w:r>
          </w:p>
        </w:tc>
      </w:tr>
      <w:tr>
        <w:tc>
          <w:tcPr>
            <w:tcW w:type="dxa" w:w="2448"/>
          </w:tcPr>
          <w:p>
            <w:r>
              <w:rPr>
                <w:sz w:val="19"/>
              </w:rPr>
              <w:t>Prepared By</w:t>
            </w:r>
          </w:p>
        </w:tc>
        <w:tc>
          <w:tcPr>
            <w:tcW w:type="dxa" w:w="6912"/>
          </w:tcPr>
          <w:p>
            <w:r>
              <w:rPr>
                <w:sz w:val="19"/>
              </w:rPr>
              <w:t>Shafik Hakim Bin Abdul Wahid (AI-assisted draft from direct code/config review)</w:t>
            </w:r>
          </w:p>
        </w:tc>
      </w:tr>
      <w:tr>
        <w:tc>
          <w:tcPr>
            <w:tcW w:type="dxa" w:w="2448"/>
          </w:tcPr>
          <w:p>
            <w:r>
              <w:rPr>
                <w:sz w:val="19"/>
              </w:rPr>
              <w:t>Related Documents</w:t>
            </w:r>
          </w:p>
        </w:tc>
        <w:tc>
          <w:tcPr>
            <w:tcW w:type="dxa" w:w="6912"/>
          </w:tcPr>
          <w:p>
            <w:r>
              <w:rPr>
                <w:sz w:val="19"/>
              </w:rPr>
              <w:t>Documentations/setup/01-local-development-setup.md, 03-cicd-and-deployment-setup.md, 04-troubleshooting.md</w:t>
            </w:r>
          </w:p>
        </w:tc>
      </w:tr>
      <w:tr>
        <w:tc>
          <w:tcPr>
            <w:tcW w:type="dxa" w:w="2448"/>
          </w:tcPr>
          <w:p>
            <w:r>
              <w:rPr>
                <w:sz w:val="19"/>
              </w:rPr>
              <w:t>Status</w:t>
            </w:r>
          </w:p>
        </w:tc>
        <w:tc>
          <w:tcPr>
            <w:tcW w:type="dxa" w:w="6912"/>
          </w:tcPr>
          <w:p>
            <w:r>
              <w:rPr>
                <w:sz w:val="19"/>
              </w:rPr>
              <w:t>Draft — not yet reviewed or signed off by an Approving Authority; treat findings as a starting checklist, not a completed audit</w:t>
            </w:r>
          </w:p>
        </w:tc>
      </w:tr>
    </w:tbl>
    <w:p>
      <w:pPr>
        <w:spacing w:after="80"/>
      </w:pPr>
    </w:p>
    <w:p>
      <w:pPr>
        <w:pStyle w:val="Heading1"/>
      </w:pPr>
      <w:r>
        <w:t>14. Version History</w:t>
      </w:r>
    </w:p>
    <w:tbl>
      <w:tblPr>
        <w:tblStyle w:val="TableGrid"/>
        <w:tblW w:type="auto" w:w="0"/>
        <w:tblLook w:firstColumn="1" w:firstRow="1" w:lastColumn="0" w:lastRow="0" w:noHBand="0" w:noVBand="1" w:val="04A0"/>
      </w:tblPr>
      <w:tblGrid>
        <w:gridCol w:w="2160"/>
        <w:gridCol w:w="2160"/>
        <w:gridCol w:w="2160"/>
        <w:gridCol w:w="2160"/>
      </w:tblGrid>
      <w:tr>
        <w:tc>
          <w:tcPr>
            <w:tcW w:type="dxa" w:w="1440"/>
            <w:shd w:val="clear" w:color="auto" w:fill="D9D9D9"/>
          </w:tcPr>
          <w:p>
            <w:r>
              <w:rPr>
                <w:b/>
                <w:sz w:val="19"/>
              </w:rPr>
              <w:t>Version</w:t>
            </w:r>
          </w:p>
        </w:tc>
        <w:tc>
          <w:tcPr>
            <w:tcW w:type="dxa" w:w="1440"/>
            <w:shd w:val="clear" w:color="auto" w:fill="D9D9D9"/>
          </w:tcPr>
          <w:p>
            <w:r>
              <w:rPr>
                <w:b/>
                <w:sz w:val="19"/>
              </w:rPr>
              <w:t>Date</w:t>
            </w:r>
          </w:p>
        </w:tc>
        <w:tc>
          <w:tcPr>
            <w:tcW w:type="dxa" w:w="3456"/>
            <w:shd w:val="clear" w:color="auto" w:fill="D9D9D9"/>
          </w:tcPr>
          <w:p>
            <w:r>
              <w:rPr>
                <w:b/>
                <w:sz w:val="19"/>
              </w:rPr>
              <w:t>Author</w:t>
            </w:r>
          </w:p>
        </w:tc>
        <w:tc>
          <w:tcPr>
            <w:tcW w:type="dxa" w:w="3024"/>
            <w:shd w:val="clear" w:color="auto" w:fill="D9D9D9"/>
          </w:tcPr>
          <w:p>
            <w:r>
              <w:rPr>
                <w:b/>
                <w:sz w:val="19"/>
              </w:rPr>
              <w:t>Change</w:t>
            </w:r>
          </w:p>
        </w:tc>
      </w:tr>
      <w:tr>
        <w:tc>
          <w:tcPr>
            <w:tcW w:type="dxa" w:w="1440"/>
          </w:tcPr>
          <w:p>
            <w:r>
              <w:rPr>
                <w:sz w:val="19"/>
              </w:rPr>
              <w:t>0.1 (Draft)</w:t>
            </w:r>
          </w:p>
        </w:tc>
        <w:tc>
          <w:tcPr>
            <w:tcW w:type="dxa" w:w="1440"/>
          </w:tcPr>
          <w:p>
            <w:r>
              <w:rPr>
                <w:sz w:val="19"/>
              </w:rPr>
              <w:t>24 July 2026</w:t>
            </w:r>
          </w:p>
        </w:tc>
        <w:tc>
          <w:tcPr>
            <w:tcW w:type="dxa" w:w="3456"/>
          </w:tcPr>
          <w:p>
            <w:r>
              <w:rPr>
                <w:sz w:val="19"/>
              </w:rPr>
              <w:t>Shafik Hakim Bin Abdul Wahid (AI-assisted)</w:t>
            </w:r>
          </w:p>
        </w:tc>
        <w:tc>
          <w:tcPr>
            <w:tcW w:type="dxa" w:w="3024"/>
          </w:tcPr>
          <w:p>
            <w:r>
              <w:rPr>
                <w:sz w:val="19"/>
              </w:rPr>
              <w:t>Initial draft on dev-deploy-shafik-2: posture summary, 13 findings + 5 positive findings from direct code review, remediation roadmap.</w:t>
            </w:r>
          </w:p>
        </w:tc>
      </w:tr>
      <w:tr>
        <w:tc>
          <w:tcPr>
            <w:tcW w:type="dxa" w:w="1440"/>
          </w:tcPr>
          <w:p>
            <w:r>
              <w:rPr>
                <w:sz w:val="19"/>
              </w:rPr>
              <w:t>0.2 (Draft)</w:t>
            </w:r>
          </w:p>
        </w:tc>
        <w:tc>
          <w:tcPr>
            <w:tcW w:type="dxa" w:w="1440"/>
          </w:tcPr>
          <w:p>
            <w:r>
              <w:rPr>
                <w:sz w:val="19"/>
              </w:rPr>
              <w:t>31 July 2026</w:t>
            </w:r>
          </w:p>
        </w:tc>
        <w:tc>
          <w:tcPr>
            <w:tcW w:type="dxa" w:w="3456"/>
          </w:tcPr>
          <w:p>
            <w:r>
              <w:rPr>
                <w:sz w:val="19"/>
              </w:rPr>
              <w:t>Shafik Hakim Bin Abdul Wahid (AI-assisted)</w:t>
            </w:r>
          </w:p>
        </w:tc>
        <w:tc>
          <w:tcPr>
            <w:tcW w:type="dxa" w:w="3024"/>
          </w:tcPr>
          <w:p>
            <w:r>
              <w:rPr>
                <w:sz w:val="19"/>
              </w:rPr>
              <w:t>Re-targeted from dev-deploy-shafik-2 to nyunt/dev-W7.1 (the live/deployed branch, sourced from dev-deploy-documentation). All file-level findings re-verified as unaffected by the branch divergence except §6.4 (help assistant, re-checked after two new feature commits) and §9 (npm audit refreshed -- 27 vulnerabilities vs. 6, driven by two new registry advisories published since the prior draft, not a code change).</w:t>
            </w:r>
          </w:p>
        </w:tc>
      </w:tr>
    </w:tbl>
    <w:p>
      <w:pPr>
        <w:spacing w:after="8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