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40"/>
        </w:rPr>
        <w:t>SmartRPD Web Application</w:t>
      </w:r>
    </w:p>
    <w:p>
      <w:pPr>
        <w:spacing w:after="40"/>
      </w:pPr>
      <w:r>
        <w:rPr>
          <w:b/>
          <w:sz w:val="32"/>
        </w:rPr>
        <w:t>Automated UAT Test Run Report</w:t>
      </w:r>
    </w:p>
    <w:p>
      <w:pPr>
        <w:spacing w:after="240"/>
      </w:pPr>
      <w:r>
        <w:rPr>
          <w:i/>
          <w:sz w:val="22"/>
        </w:rPr>
        <w:t>Jest suite results rolled up against the 12 standing UAT workflow cases -- shafik_nyunt_2_integration @ 7e35380</w:t>
      </w:r>
    </w:p>
    <w:p>
      <w:pPr>
        <w:pStyle w:val="Heading1"/>
      </w:pPr>
      <w:r>
        <w:t>1. Purpose</w:t>
      </w:r>
    </w:p>
    <w:p>
      <w:r>
        <w:t>This report captures a single, reproducible run of the full Jest automated test suite (the same command the “Deploy Test Site” workflow runs as a fail-closed gate; see UAT_Protocol_SOP.docx §4) and rolls each suite's result up against the 12 standing UAT workflow cases (UAT-01 – UAT-12, defined in SmartRPD_Documentation.docx §12.2 and restated in UAT_Protocol_SOP.docx §6). It is generated by running tools/run-uat-automated-tests.mjs, a small script added to the repository so this rollup can be regenerated on demand rather than hand-assembled each time.</w:t>
      </w:r>
    </w:p>
    <w:p>
      <w:r>
        <w:t>This report is a companion to Automated_Test_Suite_Report.docx (which documents the suite/test counts and coverage in isolation). What this report adds is the explicit suite-to-UAT traceability and an honest accounting of how much of each “PASS” actually exercises shipping code -- see §6.</w:t>
      </w:r>
    </w:p>
    <w:p>
      <w:pPr>
        <w:pStyle w:val="Heading1"/>
      </w:pPr>
      <w:r>
        <w:t>2. How This Was Run</w:t>
      </w:r>
    </w:p>
    <w:p>
      <w:r>
        <w:rPr>
          <w:b/>
        </w:rPr>
        <w:t xml:space="preserve">Script: </w:t>
      </w:r>
      <w:r>
        <w:t>tools/run-uat-automated-tests.mjs  (invoke with: node tools/run-uat-automated-tests.mjs)</w:t>
      </w:r>
    </w:p>
    <w:p>
      <w:r>
        <w:rPr>
          <w:b/>
        </w:rPr>
        <w:t xml:space="preserve">Underlying command: </w:t>
      </w:r>
      <w:r>
        <w:t>npx jest --ci --coverage --coverageReporters=json-summary --verbose --testLocationInResults --json</w:t>
      </w:r>
    </w:p>
    <w:p>
      <w:r>
        <w:rPr>
          <w:b/>
        </w:rPr>
        <w:t xml:space="preserve">Branch / commit tested: </w:t>
      </w:r>
      <w:r>
        <w:t>shafik_nyunt_2_integration @ 7e35380 — “Documentation Update 21st July” (2026-07-21 17:32:59 +0800)</w:t>
      </w:r>
    </w:p>
    <w:p>
      <w:r>
        <w:rPr>
          <w:b/>
        </w:rPr>
        <w:t xml:space="preserve">Run timestamp: </w:t>
      </w:r>
      <w:r>
        <w:t>2026-07-24T04:29:42.334Z</w:t>
      </w:r>
    </w:p>
    <w:p>
      <w:r>
        <w:rPr>
          <w:b/>
        </w:rPr>
        <w:t xml:space="preserve">Raw output: </w:t>
      </w:r>
      <w:r>
        <w:t>automated-test-run.json (structured) and automated-test-run-log.txt (full Jest console output) in this same folder.</w:t>
      </w:r>
    </w:p>
    <w:p>
      <w:pPr>
        <w:pStyle w:val="Heading1"/>
      </w:pPr>
      <w:r>
        <w:t>3. Reconciliation Against the nyunt/dev-deploy Baseline</w:t>
      </w:r>
    </w:p>
    <w:p>
      <w:r>
        <w:t>Automated_Test_Suite_Report.docx records a baseline of 11 test suites / 105 tests, captured against nyunt/dev-deploy at commit 69f1d26 (20 July 2026), following commit ab83e59 which removed 11 pre-consolidation suites re-implementing hand-copied logic and added caseEnrichment.test.mjs / importResolution.test.mjs / artificialTeethDecode.test.mjs in their place. This branch was previously measured at 21 suites / 102 tests -- a genuinely different test tree, not a re-measurement of the same one, because this branch forked before that consolidation and had also grown its own apiClientReliability.test.mjs that dev-deploy never received.</w:t>
      </w:r>
    </w:p>
    <w:p>
      <w:r>
        <w:t>As of this run, that has been partially reconciled: the 12 pre-consolidation suites were removed (authGuard, chat, createCase, endpoints, login, mapWithConcurrency, orbitControl, sortCases, stlLoad, thumbnailSave, toggleSidebar, updateThumbnail.test.mjs), apiClientReliability.test.mjs was removed by deliberate choice to match dev-deploy's suite count rather than keep it as an extra 12th suite, and importResolution.test.mjs was pulled in from nyunt/dev-deploy and confirmed working.</w:t>
      </w:r>
    </w:p>
    <w:p>
      <w:r>
        <w:rPr>
          <w:b/>
        </w:rPr>
        <w:t xml:space="preserve">Blocked: caseEnrichment.test.mjs and artificialTeethDecode.test.mjs. </w:t>
      </w:r>
      <w:r>
        <w:t>These two remaining dev-deploy suites could not be pulled in -- both import source modules that only exist under dev-deploy's restructured src/ tree (src/js/shared/caseEnrichment.js and src/viewer3d/artificialTeeth.js). Checking dev-deploy's full file tree showed this is not a small gap: dev-deploy has reorganized most of src/ (src/*.js → src/viewer3d/*.js; src/js/*.js → src/js/pages/*.js + src/js/shared/*.js; plus new modules such as an admin module and dotnetBinaryFormatter.js) that this integration branch never received. Pulling in the two remaining test files without that restructuring fails at import time (verified directly -- both suites errored with Cannot find module). Bringing this branch to dev-deploy's exact 11/105 would require merging that entire restructuring, which is a separate, much larger and higher-risk decision than test cleanup -- this branch (shafik_nyunt_2_integration) is presumably meant to feed work forward into dev-deploy, not receive dev-deploy's layout backward, so that merge should be scoped and reviewed on its own rather than done as a side effect of this reconciliation.</w:t>
      </w:r>
    </w:p>
    <w:p>
      <w:r>
        <w:rPr>
          <w:b/>
        </w:rPr>
        <w:t xml:space="preserve">Net result of this run: </w:t>
      </w:r>
      <w:r>
        <w:t>9 suites / 64 tests, all passing -- the closest safe approximation of the dev-deploy baseline achievable without the source-tree merge. Re-run this script after that merge is scoped and completed to pick up the remaining 2 suites.</w:t>
      </w:r>
    </w:p>
    <w:p>
      <w:pPr>
        <w:pStyle w:val="Heading1"/>
      </w:pPr>
      <w:r>
        <w:t>4. Summary</w:t>
      </w:r>
    </w:p>
    <w:tbl>
      <w:tblPr>
        <w:tblStyle w:val="TableGrid"/>
        <w:tblW w:type="auto" w:w="0"/>
        <w:tblLook w:firstColumn="1" w:firstRow="1" w:lastColumn="0" w:lastRow="0" w:noHBand="0" w:noVBand="1" w:val="04A0"/>
      </w:tblPr>
      <w:tblGrid>
        <w:gridCol w:w="4320"/>
        <w:gridCol w:w="4320"/>
      </w:tblGrid>
      <w:tr>
        <w:tc>
          <w:tcPr>
            <w:tcW w:type="dxa" w:w="3168"/>
            <w:shd w:val="clear" w:color="auto" w:fill="D9D9D9"/>
          </w:tcPr>
          <w:p>
            <w:r/>
            <w:r>
              <w:rPr>
                <w:b/>
                <w:sz w:val="19"/>
              </w:rPr>
              <w:t>Metric</w:t>
            </w:r>
          </w:p>
        </w:tc>
        <w:tc>
          <w:tcPr>
            <w:tcW w:type="dxa" w:w="6192"/>
            <w:shd w:val="clear" w:color="auto" w:fill="D9D9D9"/>
          </w:tcPr>
          <w:p>
            <w:r/>
            <w:r>
              <w:rPr>
                <w:b/>
                <w:sz w:val="19"/>
              </w:rPr>
              <w:t>Result</w:t>
            </w:r>
          </w:p>
        </w:tc>
      </w:tr>
      <w:tr>
        <w:tc>
          <w:tcPr>
            <w:tcW w:type="dxa" w:w="3168"/>
          </w:tcPr>
          <w:p>
            <w:r/>
            <w:r>
              <w:rPr>
                <w:sz w:val="19"/>
              </w:rPr>
              <w:t>Test Suites</w:t>
            </w:r>
          </w:p>
        </w:tc>
        <w:tc>
          <w:tcPr>
            <w:tcW w:type="dxa" w:w="6192"/>
          </w:tcPr>
          <w:p>
            <w:r/>
            <w:r>
              <w:rPr>
                <w:sz w:val="19"/>
              </w:rPr>
              <w:t>9 passed, 9 total</w:t>
            </w:r>
          </w:p>
        </w:tc>
      </w:tr>
      <w:tr>
        <w:tc>
          <w:tcPr>
            <w:tcW w:type="dxa" w:w="3168"/>
          </w:tcPr>
          <w:p>
            <w:r/>
            <w:r>
              <w:rPr>
                <w:sz w:val="19"/>
              </w:rPr>
              <w:t>Tests</w:t>
            </w:r>
          </w:p>
        </w:tc>
        <w:tc>
          <w:tcPr>
            <w:tcW w:type="dxa" w:w="6192"/>
          </w:tcPr>
          <w:p>
            <w:r/>
            <w:r>
              <w:rPr>
                <w:sz w:val="19"/>
              </w:rPr>
              <w:t>64 passed, 64 total</w:t>
            </w:r>
          </w:p>
        </w:tc>
      </w:tr>
      <w:tr>
        <w:tc>
          <w:tcPr>
            <w:tcW w:type="dxa" w:w="3168"/>
          </w:tcPr>
          <w:p>
            <w:r/>
            <w:r>
              <w:rPr>
                <w:sz w:val="19"/>
              </w:rPr>
              <w:t>Failures</w:t>
            </w:r>
          </w:p>
        </w:tc>
        <w:tc>
          <w:tcPr>
            <w:tcW w:type="dxa" w:w="6192"/>
          </w:tcPr>
          <w:p>
            <w:r/>
            <w:r>
              <w:rPr>
                <w:sz w:val="19"/>
              </w:rPr>
              <w:t>0</w:t>
            </w:r>
          </w:p>
        </w:tc>
      </w:tr>
      <w:tr>
        <w:tc>
          <w:tcPr>
            <w:tcW w:type="dxa" w:w="3168"/>
          </w:tcPr>
          <w:p>
            <w:r/>
            <w:r>
              <w:rPr>
                <w:sz w:val="19"/>
              </w:rPr>
              <w:t>Tests by category</w:t>
            </w:r>
          </w:p>
        </w:tc>
        <w:tc>
          <w:tcPr>
            <w:tcW w:type="dxa" w:w="6192"/>
          </w:tcPr>
          <w:p>
            <w:r/>
            <w:r>
              <w:rPr>
                <w:sz w:val="19"/>
              </w:rPr>
              <w:t>real=46, copy/reimplementation=18, stub/placeholder=0</w:t>
            </w:r>
          </w:p>
        </w:tc>
      </w:tr>
      <w:tr>
        <w:tc>
          <w:tcPr>
            <w:tcW w:type="dxa" w:w="3168"/>
          </w:tcPr>
          <w:p>
            <w:r/>
            <w:r>
              <w:rPr>
                <w:sz w:val="19"/>
              </w:rPr>
              <w:t>UAT workflows with zero automated coverage</w:t>
            </w:r>
          </w:p>
        </w:tc>
        <w:tc>
          <w:tcPr>
            <w:tcW w:type="dxa" w:w="6192"/>
          </w:tcPr>
          <w:p>
            <w:r/>
            <w:r>
              <w:rPr>
                <w:sz w:val="19"/>
              </w:rPr>
              <w:t>UAT-01 Login &amp; Authentication, UAT-02 Case List, UAT-03 Case Creation, UAT-05 Collaboration (Chat/Notifications), UAT-07 Embedded 3D Preview, UAT-08 3D Viewer (standalone), UAT-09 Add STL Files, UAT-10 Version History, UAT-11 Download / Export / Share, UAT-12 Responsive (Tablet + Mobile)</w:t>
            </w:r>
          </w:p>
        </w:tc>
      </w:tr>
      <w:tr>
        <w:tc>
          <w:tcPr>
            <w:tcW w:type="dxa" w:w="3168"/>
          </w:tcPr>
          <w:p>
            <w:r/>
            <w:r>
              <w:rPr>
                <w:sz w:val="19"/>
              </w:rPr>
              <w:t>Overall coverage (statements)</w:t>
            </w:r>
          </w:p>
        </w:tc>
        <w:tc>
          <w:tcPr>
            <w:tcW w:type="dxa" w:w="6192"/>
          </w:tcPr>
          <w:p>
            <w:r/>
            <w:r>
              <w:rPr>
                <w:sz w:val="19"/>
              </w:rPr>
              <w:t>37.55%</w:t>
            </w:r>
          </w:p>
        </w:tc>
      </w:tr>
      <w:tr>
        <w:tc>
          <w:tcPr>
            <w:tcW w:type="dxa" w:w="3168"/>
          </w:tcPr>
          <w:p>
            <w:r/>
            <w:r>
              <w:rPr>
                <w:sz w:val="19"/>
              </w:rPr>
              <w:t>Overall coverage (branches)</w:t>
            </w:r>
          </w:p>
        </w:tc>
        <w:tc>
          <w:tcPr>
            <w:tcW w:type="dxa" w:w="6192"/>
          </w:tcPr>
          <w:p>
            <w:r/>
            <w:r>
              <w:rPr>
                <w:sz w:val="19"/>
              </w:rPr>
              <w:t>25.37%</w:t>
            </w:r>
          </w:p>
        </w:tc>
      </w:tr>
    </w:tbl>
    <w:p>
      <w:pPr>
        <w:spacing w:after="80"/>
      </w:pPr>
    </w:p>
    <w:p>
      <w:pPr>
        <w:pStyle w:val="Heading1"/>
      </w:pPr>
      <w:r>
        <w:t>5. Results by UAT Workflow (UAT-01 – UAT-12)</w:t>
      </w:r>
    </w:p>
    <w:p>
      <w:r>
        <w:t>“Automated Coverage Confidence” reflects the category (§6) of the linked suite(s), not just pass/fail -- a workflow can show 100% passing tests and still carry no real regression protection if every linked suite is a stub or a hand-copied reimplementation. After §3's reconciliation, most workflows outside Dashboard and 2D Annotation now show no automated coverage at all -- this is the direct, honest cost of removing the placeholder/copy suites that used to (falsely) show green here; see §8.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720"/>
            <w:shd w:val="clear" w:color="auto" w:fill="D9D9D9"/>
          </w:tcPr>
          <w:p>
            <w:r/>
            <w:r>
              <w:rPr>
                <w:b/>
                <w:sz w:val="19"/>
              </w:rPr>
              <w:t>ID</w:t>
            </w:r>
          </w:p>
        </w:tc>
        <w:tc>
          <w:tcPr>
            <w:tcW w:type="dxa" w:w="2160"/>
            <w:shd w:val="clear" w:color="auto" w:fill="D9D9D9"/>
          </w:tcPr>
          <w:p>
            <w:r/>
            <w:r>
              <w:rPr>
                <w:b/>
                <w:sz w:val="19"/>
              </w:rPr>
              <w:t>Workflow</w:t>
            </w:r>
          </w:p>
        </w:tc>
        <w:tc>
          <w:tcPr>
            <w:tcW w:type="dxa" w:w="3312"/>
            <w:shd w:val="clear" w:color="auto" w:fill="D9D9D9"/>
          </w:tcPr>
          <w:p>
            <w:r/>
            <w:r>
              <w:rPr>
                <w:b/>
                <w:sz w:val="19"/>
              </w:rPr>
              <w:t>Linked Suite(s)</w:t>
            </w:r>
          </w:p>
        </w:tc>
        <w:tc>
          <w:tcPr>
            <w:tcW w:type="dxa" w:w="1152"/>
            <w:shd w:val="clear" w:color="auto" w:fill="D9D9D9"/>
          </w:tcPr>
          <w:p>
            <w:r/>
            <w:r>
              <w:rPr>
                <w:b/>
                <w:sz w:val="19"/>
              </w:rPr>
              <w:t>Pass/Total</w:t>
            </w:r>
          </w:p>
        </w:tc>
        <w:tc>
          <w:tcPr>
            <w:tcW w:type="dxa" w:w="2304"/>
            <w:shd w:val="clear" w:color="auto" w:fill="D9D9D9"/>
          </w:tcPr>
          <w:p>
            <w:r/>
            <w:r>
              <w:rPr>
                <w:b/>
                <w:sz w:val="19"/>
              </w:rPr>
              <w:t>Automated Coverage Confidence</w:t>
            </w:r>
          </w:p>
        </w:tc>
      </w:tr>
      <w:tr>
        <w:tc>
          <w:tcPr>
            <w:tcW w:type="dxa" w:w="720"/>
          </w:tcPr>
          <w:p>
            <w:r/>
            <w:r>
              <w:rPr>
                <w:sz w:val="19"/>
              </w:rPr>
              <w:t>UAT-01</w:t>
            </w:r>
          </w:p>
        </w:tc>
        <w:tc>
          <w:tcPr>
            <w:tcW w:type="dxa" w:w="2160"/>
          </w:tcPr>
          <w:p>
            <w:r/>
            <w:r>
              <w:rPr>
                <w:sz w:val="19"/>
              </w:rPr>
              <w:t>Login &amp; Authentication</w:t>
            </w:r>
          </w:p>
        </w:tc>
        <w:tc>
          <w:tcPr>
            <w:tcW w:type="dxa" w:w="3312"/>
          </w:tcPr>
          <w:p>
            <w:r/>
            <w:r>
              <w:rPr>
                <w:sz w:val="19"/>
              </w:rPr>
              <w:t>—</w:t>
            </w:r>
          </w:p>
        </w:tc>
        <w:tc>
          <w:tcPr>
            <w:tcW w:type="dxa" w:w="1152"/>
          </w:tcPr>
          <w:p>
            <w:r/>
            <w:r>
              <w:rPr>
                <w:sz w:val="19"/>
              </w:rPr>
              <w:t>0/0</w:t>
            </w:r>
          </w:p>
        </w:tc>
        <w:tc>
          <w:tcPr>
            <w:tcW w:type="dxa" w:w="2304"/>
          </w:tcPr>
          <w:p>
            <w:r/>
            <w:r>
              <w:rPr>
                <w:sz w:val="19"/>
              </w:rPr>
              <w:t>No automated coverage</w:t>
            </w:r>
          </w:p>
        </w:tc>
      </w:tr>
      <w:tr>
        <w:tc>
          <w:tcPr>
            <w:tcW w:type="dxa" w:w="720"/>
          </w:tcPr>
          <w:p>
            <w:r/>
            <w:r>
              <w:rPr>
                <w:sz w:val="19"/>
              </w:rPr>
              <w:t>UAT-02</w:t>
            </w:r>
          </w:p>
        </w:tc>
        <w:tc>
          <w:tcPr>
            <w:tcW w:type="dxa" w:w="2160"/>
          </w:tcPr>
          <w:p>
            <w:r/>
            <w:r>
              <w:rPr>
                <w:sz w:val="19"/>
              </w:rPr>
              <w:t>Case List</w:t>
            </w:r>
          </w:p>
        </w:tc>
        <w:tc>
          <w:tcPr>
            <w:tcW w:type="dxa" w:w="3312"/>
          </w:tcPr>
          <w:p>
            <w:r/>
            <w:r>
              <w:rPr>
                <w:sz w:val="19"/>
              </w:rPr>
              <w:t>—</w:t>
            </w:r>
          </w:p>
        </w:tc>
        <w:tc>
          <w:tcPr>
            <w:tcW w:type="dxa" w:w="1152"/>
          </w:tcPr>
          <w:p>
            <w:r/>
            <w:r>
              <w:rPr>
                <w:sz w:val="19"/>
              </w:rPr>
              <w:t>0/0</w:t>
            </w:r>
          </w:p>
        </w:tc>
        <w:tc>
          <w:tcPr>
            <w:tcW w:type="dxa" w:w="2304"/>
          </w:tcPr>
          <w:p>
            <w:r/>
            <w:r>
              <w:rPr>
                <w:sz w:val="19"/>
              </w:rPr>
              <w:t>No automated coverage</w:t>
            </w:r>
          </w:p>
        </w:tc>
      </w:tr>
      <w:tr>
        <w:tc>
          <w:tcPr>
            <w:tcW w:type="dxa" w:w="720"/>
          </w:tcPr>
          <w:p>
            <w:r/>
            <w:r>
              <w:rPr>
                <w:sz w:val="19"/>
              </w:rPr>
              <w:t>UAT-03</w:t>
            </w:r>
          </w:p>
        </w:tc>
        <w:tc>
          <w:tcPr>
            <w:tcW w:type="dxa" w:w="2160"/>
          </w:tcPr>
          <w:p>
            <w:r/>
            <w:r>
              <w:rPr>
                <w:sz w:val="19"/>
              </w:rPr>
              <w:t>Case Creation</w:t>
            </w:r>
          </w:p>
        </w:tc>
        <w:tc>
          <w:tcPr>
            <w:tcW w:type="dxa" w:w="3312"/>
          </w:tcPr>
          <w:p>
            <w:r/>
            <w:r>
              <w:rPr>
                <w:sz w:val="19"/>
              </w:rPr>
              <w:t>—</w:t>
            </w:r>
          </w:p>
        </w:tc>
        <w:tc>
          <w:tcPr>
            <w:tcW w:type="dxa" w:w="1152"/>
          </w:tcPr>
          <w:p>
            <w:r/>
            <w:r>
              <w:rPr>
                <w:sz w:val="19"/>
              </w:rPr>
              <w:t>0/0</w:t>
            </w:r>
          </w:p>
        </w:tc>
        <w:tc>
          <w:tcPr>
            <w:tcW w:type="dxa" w:w="2304"/>
          </w:tcPr>
          <w:p>
            <w:r/>
            <w:r>
              <w:rPr>
                <w:sz w:val="19"/>
              </w:rPr>
              <w:t>No automated coverage</w:t>
            </w:r>
          </w:p>
        </w:tc>
      </w:tr>
      <w:tr>
        <w:tc>
          <w:tcPr>
            <w:tcW w:type="dxa" w:w="720"/>
          </w:tcPr>
          <w:p>
            <w:r/>
            <w:r>
              <w:rPr>
                <w:sz w:val="19"/>
              </w:rPr>
              <w:t>UAT-04</w:t>
            </w:r>
          </w:p>
        </w:tc>
        <w:tc>
          <w:tcPr>
            <w:tcW w:type="dxa" w:w="2160"/>
          </w:tcPr>
          <w:p>
            <w:r/>
            <w:r>
              <w:rPr>
                <w:sz w:val="19"/>
              </w:rPr>
              <w:t>Dashboard</w:t>
            </w:r>
          </w:p>
        </w:tc>
        <w:tc>
          <w:tcPr>
            <w:tcW w:type="dxa" w:w="3312"/>
          </w:tcPr>
          <w:p>
            <w:r/>
            <w:r>
              <w:rPr>
                <w:sz w:val="19"/>
              </w:rPr>
              <w:t>dashboard.test.mjs</w:t>
            </w:r>
          </w:p>
        </w:tc>
        <w:tc>
          <w:tcPr>
            <w:tcW w:type="dxa" w:w="1152"/>
          </w:tcPr>
          <w:p>
            <w:r/>
            <w:r>
              <w:rPr>
                <w:sz w:val="19"/>
              </w:rPr>
              <w:t>21/21</w:t>
            </w:r>
          </w:p>
        </w:tc>
        <w:tc>
          <w:tcPr>
            <w:tcW w:type="dxa" w:w="2304"/>
          </w:tcPr>
          <w:p>
            <w:r/>
            <w:r>
              <w:rPr>
                <w:sz w:val="19"/>
              </w:rPr>
              <w:t>Real source coverage</w:t>
            </w:r>
          </w:p>
        </w:tc>
      </w:tr>
      <w:tr>
        <w:tc>
          <w:tcPr>
            <w:tcW w:type="dxa" w:w="720"/>
          </w:tcPr>
          <w:p>
            <w:r/>
            <w:r>
              <w:rPr>
                <w:sz w:val="19"/>
              </w:rPr>
              <w:t>UAT-05</w:t>
            </w:r>
          </w:p>
        </w:tc>
        <w:tc>
          <w:tcPr>
            <w:tcW w:type="dxa" w:w="2160"/>
          </w:tcPr>
          <w:p>
            <w:r/>
            <w:r>
              <w:rPr>
                <w:sz w:val="19"/>
              </w:rPr>
              <w:t>Collaboration (Chat/Notifications)</w:t>
            </w:r>
          </w:p>
        </w:tc>
        <w:tc>
          <w:tcPr>
            <w:tcW w:type="dxa" w:w="3312"/>
          </w:tcPr>
          <w:p>
            <w:r/>
            <w:r>
              <w:rPr>
                <w:sz w:val="19"/>
              </w:rPr>
              <w:t>—</w:t>
            </w:r>
          </w:p>
        </w:tc>
        <w:tc>
          <w:tcPr>
            <w:tcW w:type="dxa" w:w="1152"/>
          </w:tcPr>
          <w:p>
            <w:r/>
            <w:r>
              <w:rPr>
                <w:sz w:val="19"/>
              </w:rPr>
              <w:t>0/0</w:t>
            </w:r>
          </w:p>
        </w:tc>
        <w:tc>
          <w:tcPr>
            <w:tcW w:type="dxa" w:w="2304"/>
          </w:tcPr>
          <w:p>
            <w:r/>
            <w:r>
              <w:rPr>
                <w:sz w:val="19"/>
              </w:rPr>
              <w:t>No automated coverage</w:t>
            </w:r>
          </w:p>
        </w:tc>
      </w:tr>
      <w:tr>
        <w:tc>
          <w:tcPr>
            <w:tcW w:type="dxa" w:w="720"/>
          </w:tcPr>
          <w:p>
            <w:r/>
            <w:r>
              <w:rPr>
                <w:sz w:val="19"/>
              </w:rPr>
              <w:t>UAT-06</w:t>
            </w:r>
          </w:p>
        </w:tc>
        <w:tc>
          <w:tcPr>
            <w:tcW w:type="dxa" w:w="2160"/>
          </w:tcPr>
          <w:p>
            <w:r/>
            <w:r>
              <w:rPr>
                <w:sz w:val="19"/>
              </w:rPr>
              <w:t>2D Annotation</w:t>
            </w:r>
          </w:p>
        </w:tc>
        <w:tc>
          <w:tcPr>
            <w:tcW w:type="dxa" w:w="3312"/>
          </w:tcPr>
          <w:p>
            <w:r/>
            <w:r>
              <w:rPr>
                <w:sz w:val="19"/>
              </w:rPr>
              <w:t>mergeInstructions.test.mjs; clinicalInfoCodec.test.mjs; reciprocatingExclusivity.test.mjs; jawStructRoundTrip.test.mjs; jawStructLingualPlate.test.mjs; jawStructMajorSwitch.test.mjs</w:t>
            </w:r>
          </w:p>
        </w:tc>
        <w:tc>
          <w:tcPr>
            <w:tcW w:type="dxa" w:w="1152"/>
          </w:tcPr>
          <w:p>
            <w:r/>
            <w:r>
              <w:rPr>
                <w:sz w:val="19"/>
              </w:rPr>
              <w:t>37/37</w:t>
            </w:r>
          </w:p>
        </w:tc>
        <w:tc>
          <w:tcPr>
            <w:tcW w:type="dxa" w:w="2304"/>
          </w:tcPr>
          <w:p>
            <w:r/>
            <w:r>
              <w:rPr>
                <w:sz w:val="19"/>
              </w:rPr>
              <w:t>Mixed (real + copy/stub)</w:t>
            </w:r>
          </w:p>
        </w:tc>
      </w:tr>
      <w:tr>
        <w:tc>
          <w:tcPr>
            <w:tcW w:type="dxa" w:w="720"/>
          </w:tcPr>
          <w:p>
            <w:r/>
            <w:r>
              <w:rPr>
                <w:sz w:val="19"/>
              </w:rPr>
              <w:t>UAT-07</w:t>
            </w:r>
          </w:p>
        </w:tc>
        <w:tc>
          <w:tcPr>
            <w:tcW w:type="dxa" w:w="2160"/>
          </w:tcPr>
          <w:p>
            <w:r/>
            <w:r>
              <w:rPr>
                <w:sz w:val="19"/>
              </w:rPr>
              <w:t>Embedded 3D Preview</w:t>
            </w:r>
          </w:p>
        </w:tc>
        <w:tc>
          <w:tcPr>
            <w:tcW w:type="dxa" w:w="3312"/>
          </w:tcPr>
          <w:p>
            <w:r/>
            <w:r>
              <w:rPr>
                <w:sz w:val="19"/>
              </w:rPr>
              <w:t>—</w:t>
            </w:r>
          </w:p>
        </w:tc>
        <w:tc>
          <w:tcPr>
            <w:tcW w:type="dxa" w:w="1152"/>
          </w:tcPr>
          <w:p>
            <w:r/>
            <w:r>
              <w:rPr>
                <w:sz w:val="19"/>
              </w:rPr>
              <w:t>0/0</w:t>
            </w:r>
          </w:p>
        </w:tc>
        <w:tc>
          <w:tcPr>
            <w:tcW w:type="dxa" w:w="2304"/>
          </w:tcPr>
          <w:p>
            <w:r/>
            <w:r>
              <w:rPr>
                <w:sz w:val="19"/>
              </w:rPr>
              <w:t>No automated coverage</w:t>
            </w:r>
          </w:p>
        </w:tc>
      </w:tr>
      <w:tr>
        <w:tc>
          <w:tcPr>
            <w:tcW w:type="dxa" w:w="720"/>
          </w:tcPr>
          <w:p>
            <w:r/>
            <w:r>
              <w:rPr>
                <w:sz w:val="19"/>
              </w:rPr>
              <w:t>UAT-08</w:t>
            </w:r>
          </w:p>
        </w:tc>
        <w:tc>
          <w:tcPr>
            <w:tcW w:type="dxa" w:w="2160"/>
          </w:tcPr>
          <w:p>
            <w:r/>
            <w:r>
              <w:rPr>
                <w:sz w:val="19"/>
              </w:rPr>
              <w:t>3D Viewer (standalone)</w:t>
            </w:r>
          </w:p>
        </w:tc>
        <w:tc>
          <w:tcPr>
            <w:tcW w:type="dxa" w:w="3312"/>
          </w:tcPr>
          <w:p>
            <w:r/>
            <w:r>
              <w:rPr>
                <w:sz w:val="19"/>
              </w:rPr>
              <w:t>—</w:t>
            </w:r>
          </w:p>
        </w:tc>
        <w:tc>
          <w:tcPr>
            <w:tcW w:type="dxa" w:w="1152"/>
          </w:tcPr>
          <w:p>
            <w:r/>
            <w:r>
              <w:rPr>
                <w:sz w:val="19"/>
              </w:rPr>
              <w:t>0/0</w:t>
            </w:r>
          </w:p>
        </w:tc>
        <w:tc>
          <w:tcPr>
            <w:tcW w:type="dxa" w:w="2304"/>
          </w:tcPr>
          <w:p>
            <w:r/>
            <w:r>
              <w:rPr>
                <w:sz w:val="19"/>
              </w:rPr>
              <w:t>No automated coverage</w:t>
            </w:r>
          </w:p>
        </w:tc>
      </w:tr>
      <w:tr>
        <w:tc>
          <w:tcPr>
            <w:tcW w:type="dxa" w:w="720"/>
          </w:tcPr>
          <w:p>
            <w:r/>
            <w:r>
              <w:rPr>
                <w:sz w:val="19"/>
              </w:rPr>
              <w:t>UAT-09</w:t>
            </w:r>
          </w:p>
        </w:tc>
        <w:tc>
          <w:tcPr>
            <w:tcW w:type="dxa" w:w="2160"/>
          </w:tcPr>
          <w:p>
            <w:r/>
            <w:r>
              <w:rPr>
                <w:sz w:val="19"/>
              </w:rPr>
              <w:t>Add STL Files</w:t>
            </w:r>
          </w:p>
        </w:tc>
        <w:tc>
          <w:tcPr>
            <w:tcW w:type="dxa" w:w="3312"/>
          </w:tcPr>
          <w:p>
            <w:r/>
            <w:r>
              <w:rPr>
                <w:sz w:val="19"/>
              </w:rPr>
              <w:t>—</w:t>
            </w:r>
          </w:p>
        </w:tc>
        <w:tc>
          <w:tcPr>
            <w:tcW w:type="dxa" w:w="1152"/>
          </w:tcPr>
          <w:p>
            <w:r/>
            <w:r>
              <w:rPr>
                <w:sz w:val="19"/>
              </w:rPr>
              <w:t>0/0</w:t>
            </w:r>
          </w:p>
        </w:tc>
        <w:tc>
          <w:tcPr>
            <w:tcW w:type="dxa" w:w="2304"/>
          </w:tcPr>
          <w:p>
            <w:r/>
            <w:r>
              <w:rPr>
                <w:sz w:val="19"/>
              </w:rPr>
              <w:t>No automated coverage</w:t>
            </w:r>
          </w:p>
        </w:tc>
      </w:tr>
      <w:tr>
        <w:tc>
          <w:tcPr>
            <w:tcW w:type="dxa" w:w="720"/>
          </w:tcPr>
          <w:p>
            <w:r/>
            <w:r>
              <w:rPr>
                <w:sz w:val="19"/>
              </w:rPr>
              <w:t>UAT-10</w:t>
            </w:r>
          </w:p>
        </w:tc>
        <w:tc>
          <w:tcPr>
            <w:tcW w:type="dxa" w:w="2160"/>
          </w:tcPr>
          <w:p>
            <w:r/>
            <w:r>
              <w:rPr>
                <w:sz w:val="19"/>
              </w:rPr>
              <w:t>Version History</w:t>
            </w:r>
          </w:p>
        </w:tc>
        <w:tc>
          <w:tcPr>
            <w:tcW w:type="dxa" w:w="3312"/>
          </w:tcPr>
          <w:p>
            <w:r/>
            <w:r>
              <w:rPr>
                <w:sz w:val="19"/>
              </w:rPr>
              <w:t>—</w:t>
            </w:r>
          </w:p>
        </w:tc>
        <w:tc>
          <w:tcPr>
            <w:tcW w:type="dxa" w:w="1152"/>
          </w:tcPr>
          <w:p>
            <w:r/>
            <w:r>
              <w:rPr>
                <w:sz w:val="19"/>
              </w:rPr>
              <w:t>0/0</w:t>
            </w:r>
          </w:p>
        </w:tc>
        <w:tc>
          <w:tcPr>
            <w:tcW w:type="dxa" w:w="2304"/>
          </w:tcPr>
          <w:p>
            <w:r/>
            <w:r>
              <w:rPr>
                <w:sz w:val="19"/>
              </w:rPr>
              <w:t>No automated coverage</w:t>
            </w:r>
          </w:p>
        </w:tc>
      </w:tr>
      <w:tr>
        <w:tc>
          <w:tcPr>
            <w:tcW w:type="dxa" w:w="720"/>
          </w:tcPr>
          <w:p>
            <w:r/>
            <w:r>
              <w:rPr>
                <w:sz w:val="19"/>
              </w:rPr>
              <w:t>UAT-11</w:t>
            </w:r>
          </w:p>
        </w:tc>
        <w:tc>
          <w:tcPr>
            <w:tcW w:type="dxa" w:w="2160"/>
          </w:tcPr>
          <w:p>
            <w:r/>
            <w:r>
              <w:rPr>
                <w:sz w:val="19"/>
              </w:rPr>
              <w:t>Download / Export / Share</w:t>
            </w:r>
          </w:p>
        </w:tc>
        <w:tc>
          <w:tcPr>
            <w:tcW w:type="dxa" w:w="3312"/>
          </w:tcPr>
          <w:p>
            <w:r/>
            <w:r>
              <w:rPr>
                <w:sz w:val="19"/>
              </w:rPr>
              <w:t>—</w:t>
            </w:r>
          </w:p>
        </w:tc>
        <w:tc>
          <w:tcPr>
            <w:tcW w:type="dxa" w:w="1152"/>
          </w:tcPr>
          <w:p>
            <w:r/>
            <w:r>
              <w:rPr>
                <w:sz w:val="19"/>
              </w:rPr>
              <w:t>0/0</w:t>
            </w:r>
          </w:p>
        </w:tc>
        <w:tc>
          <w:tcPr>
            <w:tcW w:type="dxa" w:w="2304"/>
          </w:tcPr>
          <w:p>
            <w:r/>
            <w:r>
              <w:rPr>
                <w:sz w:val="19"/>
              </w:rPr>
              <w:t>No automated coverage</w:t>
            </w:r>
          </w:p>
        </w:tc>
      </w:tr>
      <w:tr>
        <w:tc>
          <w:tcPr>
            <w:tcW w:type="dxa" w:w="720"/>
          </w:tcPr>
          <w:p>
            <w:r/>
            <w:r>
              <w:rPr>
                <w:sz w:val="19"/>
              </w:rPr>
              <w:t>UAT-12</w:t>
            </w:r>
          </w:p>
        </w:tc>
        <w:tc>
          <w:tcPr>
            <w:tcW w:type="dxa" w:w="2160"/>
          </w:tcPr>
          <w:p>
            <w:r/>
            <w:r>
              <w:rPr>
                <w:sz w:val="19"/>
              </w:rPr>
              <w:t>Responsive (Tablet + Mobile)</w:t>
            </w:r>
          </w:p>
        </w:tc>
        <w:tc>
          <w:tcPr>
            <w:tcW w:type="dxa" w:w="3312"/>
          </w:tcPr>
          <w:p>
            <w:r/>
            <w:r>
              <w:rPr>
                <w:sz w:val="19"/>
              </w:rPr>
              <w:t>—</w:t>
            </w:r>
          </w:p>
        </w:tc>
        <w:tc>
          <w:tcPr>
            <w:tcW w:type="dxa" w:w="1152"/>
          </w:tcPr>
          <w:p>
            <w:r/>
            <w:r>
              <w:rPr>
                <w:sz w:val="19"/>
              </w:rPr>
              <w:t>0/0</w:t>
            </w:r>
          </w:p>
        </w:tc>
        <w:tc>
          <w:tcPr>
            <w:tcW w:type="dxa" w:w="2304"/>
          </w:tcPr>
          <w:p>
            <w:r/>
            <w:r>
              <w:rPr>
                <w:sz w:val="19"/>
              </w:rPr>
              <w:t>No automated coverage</w:t>
            </w:r>
          </w:p>
        </w:tc>
      </w:tr>
    </w:tbl>
    <w:p>
      <w:pPr>
        <w:spacing w:after="80"/>
      </w:pPr>
    </w:p>
    <w:p>
      <w:pPr>
        <w:pStyle w:val="Heading1"/>
      </w:pPr>
      <w:r>
        <w:t>6. Per-Suite Breakdown and Test-Quality Categorization</w:t>
      </w:r>
    </w:p>
    <w:p>
      <w:r>
        <w:t>Every suite in this run was read and classified by whether it imports the real src/ module it claims to test, reimplements a local copy of that logic, or asserts a hardcoded placeholder value. This distinction is not visible from the PASS/FAIL summary alone and materially changes what a PASS means:</w:t>
      </w:r>
    </w:p>
    <w:p>
      <w:pPr>
        <w:pStyle w:val="ListBullet"/>
      </w:pPr>
      <w:r>
        <w:t>Real (imports the actual src/ module under test)</w:t>
      </w:r>
    </w:p>
    <w:p>
      <w:pPr>
        <w:pStyle w:val="ListBullet"/>
      </w:pPr>
      <w:r>
        <w:t>Copy (reimplements the logic locally; does not import src/)</w:t>
      </w:r>
    </w:p>
    <w:p>
      <w:pPr>
        <w:pStyle w:val="ListBullet"/>
      </w:pPr>
      <w:r>
        <w:t>Stub (hardcoded placeholder assertion; no source under test)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304"/>
            <w:shd w:val="clear" w:color="auto" w:fill="D9D9D9"/>
          </w:tcPr>
          <w:p>
            <w:r/>
            <w:r>
              <w:rPr>
                <w:b/>
                <w:sz w:val="19"/>
              </w:rPr>
              <w:t>Test File</w:t>
            </w:r>
          </w:p>
        </w:tc>
        <w:tc>
          <w:tcPr>
            <w:tcW w:type="dxa" w:w="864"/>
            <w:shd w:val="clear" w:color="auto" w:fill="D9D9D9"/>
          </w:tcPr>
          <w:p>
            <w:r/>
            <w:r>
              <w:rPr>
                <w:b/>
                <w:sz w:val="19"/>
              </w:rPr>
              <w:t>Pass/Total</w:t>
            </w:r>
          </w:p>
        </w:tc>
        <w:tc>
          <w:tcPr>
            <w:tcW w:type="dxa" w:w="864"/>
            <w:shd w:val="clear" w:color="auto" w:fill="D9D9D9"/>
          </w:tcPr>
          <w:p>
            <w:r/>
            <w:r>
              <w:rPr>
                <w:b/>
                <w:sz w:val="19"/>
              </w:rPr>
              <w:t>Category</w:t>
            </w:r>
          </w:p>
        </w:tc>
        <w:tc>
          <w:tcPr>
            <w:tcW w:type="dxa" w:w="1296"/>
            <w:shd w:val="clear" w:color="auto" w:fill="D9D9D9"/>
          </w:tcPr>
          <w:p>
            <w:r/>
            <w:r>
              <w:rPr>
                <w:b/>
                <w:sz w:val="19"/>
              </w:rPr>
              <w:t>Linked UAT(s)</w:t>
            </w:r>
          </w:p>
        </w:tc>
        <w:tc>
          <w:tcPr>
            <w:tcW w:type="dxa" w:w="4320"/>
            <w:shd w:val="clear" w:color="auto" w:fill="D9D9D9"/>
          </w:tcPr>
          <w:p>
            <w:r/>
            <w:r>
              <w:rPr>
                <w:b/>
                <w:sz w:val="19"/>
              </w:rPr>
              <w:t>Note</w:t>
            </w:r>
          </w:p>
        </w:tc>
      </w:tr>
      <w:tr>
        <w:tc>
          <w:tcPr>
            <w:tcW w:type="dxa" w:w="2304"/>
          </w:tcPr>
          <w:p>
            <w:r/>
            <w:r>
              <w:rPr>
                <w:sz w:val="19"/>
              </w:rPr>
              <w:t>clinicalInfoCodec.test.mjs</w:t>
            </w:r>
          </w:p>
        </w:tc>
        <w:tc>
          <w:tcPr>
            <w:tcW w:type="dxa" w:w="864"/>
          </w:tcPr>
          <w:p>
            <w:r/>
            <w:r>
              <w:rPr>
                <w:sz w:val="19"/>
              </w:rPr>
              <w:t>13/13</w:t>
            </w:r>
          </w:p>
        </w:tc>
        <w:tc>
          <w:tcPr>
            <w:tcW w:type="dxa" w:w="864"/>
          </w:tcPr>
          <w:p>
            <w:r/>
            <w:r>
              <w:rPr>
                <w:sz w:val="19"/>
              </w:rPr>
              <w:t>copy</w:t>
            </w:r>
          </w:p>
        </w:tc>
        <w:tc>
          <w:tcPr>
            <w:tcW w:type="dxa" w:w="1296"/>
          </w:tcPr>
          <w:p>
            <w:r/>
            <w:r>
              <w:rPr>
                <w:sz w:val="19"/>
              </w:rPr>
              <w:t>UAT-06</w:t>
            </w:r>
          </w:p>
        </w:tc>
        <w:tc>
          <w:tcPr>
            <w:tcW w:type="dxa" w:w="4320"/>
          </w:tcPr>
          <w:p>
            <w:r/>
            <w:r>
              <w:rPr>
                <w:sz w:val="19"/>
              </w:rPr>
              <w:t>Reimplements the .NET envelope codec as a faithful local copy rather than importing src/js/2D/clinicalInfo.js.</w:t>
            </w:r>
          </w:p>
        </w:tc>
      </w:tr>
      <w:tr>
        <w:tc>
          <w:tcPr>
            <w:tcW w:type="dxa" w:w="2304"/>
          </w:tcPr>
          <w:p>
            <w:r/>
            <w:r>
              <w:rPr>
                <w:sz w:val="19"/>
              </w:rPr>
              <w:t>crypt.test.mjs</w:t>
            </w:r>
          </w:p>
        </w:tc>
        <w:tc>
          <w:tcPr>
            <w:tcW w:type="dxa" w:w="864"/>
          </w:tcPr>
          <w:p>
            <w:r/>
            <w:r>
              <w:rPr>
                <w:sz w:val="19"/>
              </w:rPr>
              <w:t>3/3</w:t>
            </w:r>
          </w:p>
        </w:tc>
        <w:tc>
          <w:tcPr>
            <w:tcW w:type="dxa" w:w="864"/>
          </w:tcPr>
          <w:p>
            <w:r/>
            <w:r>
              <w:rPr>
                <w:sz w:val="19"/>
              </w:rPr>
              <w:t>real</w:t>
            </w:r>
          </w:p>
        </w:tc>
        <w:tc>
          <w:tcPr>
            <w:tcW w:type="dxa" w:w="1296"/>
          </w:tcPr>
          <w:p>
            <w:r/>
            <w:r>
              <w:rPr>
                <w:sz w:val="19"/>
              </w:rPr>
              <w:t>cross-cutting</w:t>
            </w:r>
          </w:p>
        </w:tc>
        <w:tc>
          <w:tcPr>
            <w:tcW w:type="dxa" w:w="4320"/>
          </w:tcPr>
          <w:p>
            <w:r/>
            <w:r>
              <w:rPr>
                <w:sz w:val="19"/>
              </w:rPr>
              <w:t>Imports real src/crypt.js. Case-ID URL obfuscation used across case list, chat, viewer, version history, annotation and create-case links -- cross-cutting, not tied to one workflow.</w:t>
            </w:r>
          </w:p>
        </w:tc>
      </w:tr>
      <w:tr>
        <w:tc>
          <w:tcPr>
            <w:tcW w:type="dxa" w:w="2304"/>
          </w:tcPr>
          <w:p>
            <w:r/>
            <w:r>
              <w:rPr>
                <w:sz w:val="19"/>
              </w:rPr>
              <w:t>dashboard.test.mjs</w:t>
            </w:r>
          </w:p>
        </w:tc>
        <w:tc>
          <w:tcPr>
            <w:tcW w:type="dxa" w:w="864"/>
          </w:tcPr>
          <w:p>
            <w:r/>
            <w:r>
              <w:rPr>
                <w:sz w:val="19"/>
              </w:rPr>
              <w:t>21/21</w:t>
            </w:r>
          </w:p>
        </w:tc>
        <w:tc>
          <w:tcPr>
            <w:tcW w:type="dxa" w:w="864"/>
          </w:tcPr>
          <w:p>
            <w:r/>
            <w:r>
              <w:rPr>
                <w:sz w:val="19"/>
              </w:rPr>
              <w:t>real</w:t>
            </w:r>
          </w:p>
        </w:tc>
        <w:tc>
          <w:tcPr>
            <w:tcW w:type="dxa" w:w="1296"/>
          </w:tcPr>
          <w:p>
            <w:r/>
            <w:r>
              <w:rPr>
                <w:sz w:val="19"/>
              </w:rPr>
              <w:t>UAT-04</w:t>
            </w:r>
          </w:p>
        </w:tc>
        <w:tc>
          <w:tcPr>
            <w:tcW w:type="dxa" w:w="4320"/>
          </w:tcPr>
          <w:p>
            <w:r/>
            <w:r>
              <w:rPr>
                <w:sz w:val="19"/>
              </w:rPr>
              <w:t>Imports real dashboard.js pipeline functions.</w:t>
            </w:r>
          </w:p>
        </w:tc>
      </w:tr>
      <w:tr>
        <w:tc>
          <w:tcPr>
            <w:tcW w:type="dxa" w:w="2304"/>
          </w:tcPr>
          <w:p>
            <w:r/>
            <w:r>
              <w:rPr>
                <w:sz w:val="19"/>
              </w:rPr>
              <w:t>importResolution.test.mjs</w:t>
            </w:r>
          </w:p>
        </w:tc>
        <w:tc>
          <w:tcPr>
            <w:tcW w:type="dxa" w:w="864"/>
          </w:tcPr>
          <w:p>
            <w:r/>
            <w:r>
              <w:rPr>
                <w:sz w:val="19"/>
              </w:rPr>
              <w:t>3/3</w:t>
            </w:r>
          </w:p>
        </w:tc>
        <w:tc>
          <w:tcPr>
            <w:tcW w:type="dxa" w:w="864"/>
          </w:tcPr>
          <w:p>
            <w:r/>
            <w:r>
              <w:rPr>
                <w:sz w:val="19"/>
              </w:rPr>
              <w:t>real</w:t>
            </w:r>
          </w:p>
        </w:tc>
        <w:tc>
          <w:tcPr>
            <w:tcW w:type="dxa" w:w="1296"/>
          </w:tcPr>
          <w:p>
            <w:r/>
            <w:r>
              <w:rPr>
                <w:sz w:val="19"/>
              </w:rPr>
              <w:t>cross-cutting</w:t>
            </w:r>
          </w:p>
        </w:tc>
        <w:tc>
          <w:tcPr>
            <w:tcW w:type="dxa" w:w="4320"/>
          </w:tcPr>
          <w:p>
            <w:r/>
            <w:r>
              <w:rPr>
                <w:sz w:val="19"/>
              </w:rPr>
              <w:t>Walks src/, __tests__/ and the HTML pages checking every relative import/script-src resolves. Repo-wide build-integrity check, not tied to one workflow. Pulled from nyunt/dev-deploy 2026-07-24 as part of reconciling this branch’s test tree to the dev-deploy baseline (see Automated_UAT_Test_Run_Report.docx §3).</w:t>
            </w:r>
          </w:p>
        </w:tc>
      </w:tr>
      <w:tr>
        <w:tc>
          <w:tcPr>
            <w:tcW w:type="dxa" w:w="2304"/>
          </w:tcPr>
          <w:p>
            <w:r/>
            <w:r>
              <w:rPr>
                <w:sz w:val="19"/>
              </w:rPr>
              <w:t>jawStructLingualPlate.test.mjs</w:t>
            </w:r>
          </w:p>
        </w:tc>
        <w:tc>
          <w:tcPr>
            <w:tcW w:type="dxa" w:w="864"/>
          </w:tcPr>
          <w:p>
            <w:r/>
            <w:r>
              <w:rPr>
                <w:sz w:val="19"/>
              </w:rPr>
              <w:t>4/4</w:t>
            </w:r>
          </w:p>
        </w:tc>
        <w:tc>
          <w:tcPr>
            <w:tcW w:type="dxa" w:w="864"/>
          </w:tcPr>
          <w:p>
            <w:r/>
            <w:r>
              <w:rPr>
                <w:sz w:val="19"/>
              </w:rPr>
              <w:t>real</w:t>
            </w:r>
          </w:p>
        </w:tc>
        <w:tc>
          <w:tcPr>
            <w:tcW w:type="dxa" w:w="1296"/>
          </w:tcPr>
          <w:p>
            <w:r/>
            <w:r>
              <w:rPr>
                <w:sz w:val="19"/>
              </w:rPr>
              <w:t>UAT-06</w:t>
            </w:r>
          </w:p>
        </w:tc>
        <w:tc>
          <w:tcPr>
            <w:tcW w:type="dxa" w:w="4320"/>
          </w:tcPr>
          <w:p>
            <w:r/>
            <w:r>
              <w:rPr>
                <w:sz w:val="19"/>
              </w:rPr>
              <w:t>Imports real src/js/2D/jawStructApply.js against fixture desktop files.</w:t>
            </w:r>
          </w:p>
        </w:tc>
      </w:tr>
      <w:tr>
        <w:tc>
          <w:tcPr>
            <w:tcW w:type="dxa" w:w="2304"/>
          </w:tcPr>
          <w:p>
            <w:r/>
            <w:r>
              <w:rPr>
                <w:sz w:val="19"/>
              </w:rPr>
              <w:t>jawStructMajorSwitch.test.mjs</w:t>
            </w:r>
          </w:p>
        </w:tc>
        <w:tc>
          <w:tcPr>
            <w:tcW w:type="dxa" w:w="864"/>
          </w:tcPr>
          <w:p>
            <w:r/>
            <w:r>
              <w:rPr>
                <w:sz w:val="19"/>
              </w:rPr>
              <w:t>4/4</w:t>
            </w:r>
          </w:p>
        </w:tc>
        <w:tc>
          <w:tcPr>
            <w:tcW w:type="dxa" w:w="864"/>
          </w:tcPr>
          <w:p>
            <w:r/>
            <w:r>
              <w:rPr>
                <w:sz w:val="19"/>
              </w:rPr>
              <w:t>real</w:t>
            </w:r>
          </w:p>
        </w:tc>
        <w:tc>
          <w:tcPr>
            <w:tcW w:type="dxa" w:w="1296"/>
          </w:tcPr>
          <w:p>
            <w:r/>
            <w:r>
              <w:rPr>
                <w:sz w:val="19"/>
              </w:rPr>
              <w:t>UAT-06</w:t>
            </w:r>
          </w:p>
        </w:tc>
        <w:tc>
          <w:tcPr>
            <w:tcW w:type="dxa" w:w="4320"/>
          </w:tcPr>
          <w:p>
            <w:r/>
            <w:r>
              <w:rPr>
                <w:sz w:val="19"/>
              </w:rPr>
              <w:t>Imports real src/js/2D/jawStructApply.js.</w:t>
            </w:r>
          </w:p>
        </w:tc>
      </w:tr>
      <w:tr>
        <w:tc>
          <w:tcPr>
            <w:tcW w:type="dxa" w:w="2304"/>
          </w:tcPr>
          <w:p>
            <w:r/>
            <w:r>
              <w:rPr>
                <w:sz w:val="19"/>
              </w:rPr>
              <w:t>jawStructRoundTrip.test.mjs</w:t>
            </w:r>
          </w:p>
        </w:tc>
        <w:tc>
          <w:tcPr>
            <w:tcW w:type="dxa" w:w="864"/>
          </w:tcPr>
          <w:p>
            <w:r/>
            <w:r>
              <w:rPr>
                <w:sz w:val="19"/>
              </w:rPr>
              <w:t>2/2</w:t>
            </w:r>
          </w:p>
        </w:tc>
        <w:tc>
          <w:tcPr>
            <w:tcW w:type="dxa" w:w="864"/>
          </w:tcPr>
          <w:p>
            <w:r/>
            <w:r>
              <w:rPr>
                <w:sz w:val="19"/>
              </w:rPr>
              <w:t>real</w:t>
            </w:r>
          </w:p>
        </w:tc>
        <w:tc>
          <w:tcPr>
            <w:tcW w:type="dxa" w:w="1296"/>
          </w:tcPr>
          <w:p>
            <w:r/>
            <w:r>
              <w:rPr>
                <w:sz w:val="19"/>
              </w:rPr>
              <w:t>UAT-06</w:t>
            </w:r>
          </w:p>
        </w:tc>
        <w:tc>
          <w:tcPr>
            <w:tcW w:type="dxa" w:w="4320"/>
          </w:tcPr>
          <w:p>
            <w:r/>
            <w:r>
              <w:rPr>
                <w:sz w:val="19"/>
              </w:rPr>
              <w:t>Imports real src/js/2D/jawStructApply.js against fixture desktop files.</w:t>
            </w:r>
          </w:p>
        </w:tc>
      </w:tr>
      <w:tr>
        <w:tc>
          <w:tcPr>
            <w:tcW w:type="dxa" w:w="2304"/>
          </w:tcPr>
          <w:p>
            <w:r/>
            <w:r>
              <w:rPr>
                <w:sz w:val="19"/>
              </w:rPr>
              <w:t>mergeInstructions.test.mjs</w:t>
            </w:r>
          </w:p>
        </w:tc>
        <w:tc>
          <w:tcPr>
            <w:tcW w:type="dxa" w:w="864"/>
          </w:tcPr>
          <w:p>
            <w:r/>
            <w:r>
              <w:rPr>
                <w:sz w:val="19"/>
              </w:rPr>
              <w:t>5/5</w:t>
            </w:r>
          </w:p>
        </w:tc>
        <w:tc>
          <w:tcPr>
            <w:tcW w:type="dxa" w:w="864"/>
          </w:tcPr>
          <w:p>
            <w:r/>
            <w:r>
              <w:rPr>
                <w:sz w:val="19"/>
              </w:rPr>
              <w:t>copy</w:t>
            </w:r>
          </w:p>
        </w:tc>
        <w:tc>
          <w:tcPr>
            <w:tcW w:type="dxa" w:w="1296"/>
          </w:tcPr>
          <w:p>
            <w:r/>
            <w:r>
              <w:rPr>
                <w:sz w:val="19"/>
              </w:rPr>
              <w:t>UAT-06</w:t>
            </w:r>
          </w:p>
        </w:tc>
        <w:tc>
          <w:tcPr>
            <w:tcW w:type="dxa" w:w="4320"/>
          </w:tcPr>
          <w:p>
            <w:r/>
            <w:r>
              <w:rPr>
                <w:sz w:val="19"/>
              </w:rPr>
              <w:t>Reimplements mergeInstructions() as a faithful local copy rather than importing src/js/2D/noticeboard.js.</w:t>
            </w:r>
          </w:p>
        </w:tc>
      </w:tr>
      <w:tr>
        <w:tc>
          <w:tcPr>
            <w:tcW w:type="dxa" w:w="2304"/>
          </w:tcPr>
          <w:p>
            <w:r/>
            <w:r>
              <w:rPr>
                <w:sz w:val="19"/>
              </w:rPr>
              <w:t>reciprocatingExclusivity.test.mjs</w:t>
            </w:r>
          </w:p>
        </w:tc>
        <w:tc>
          <w:tcPr>
            <w:tcW w:type="dxa" w:w="864"/>
          </w:tcPr>
          <w:p>
            <w:r/>
            <w:r>
              <w:rPr>
                <w:sz w:val="19"/>
              </w:rPr>
              <w:t>9/9</w:t>
            </w:r>
          </w:p>
        </w:tc>
        <w:tc>
          <w:tcPr>
            <w:tcW w:type="dxa" w:w="864"/>
          </w:tcPr>
          <w:p>
            <w:r/>
            <w:r>
              <w:rPr>
                <w:sz w:val="19"/>
              </w:rPr>
              <w:t>real</w:t>
            </w:r>
          </w:p>
        </w:tc>
        <w:tc>
          <w:tcPr>
            <w:tcW w:type="dxa" w:w="1296"/>
          </w:tcPr>
          <w:p>
            <w:r/>
            <w:r>
              <w:rPr>
                <w:sz w:val="19"/>
              </w:rPr>
              <w:t>UAT-06</w:t>
            </w:r>
          </w:p>
        </w:tc>
        <w:tc>
          <w:tcPr>
            <w:tcW w:type="dxa" w:w="4320"/>
          </w:tcPr>
          <w:p>
            <w:r/>
            <w:r>
              <w:rPr>
                <w:sz w:val="19"/>
              </w:rPr>
              <w:t>Imports real src/js/2D/criteria.js, components.js and annotationTeethModel.js.</w:t>
            </w:r>
          </w:p>
        </w:tc>
      </w:tr>
    </w:tbl>
    <w:p>
      <w:pPr>
        <w:spacing w:after="80"/>
      </w:pPr>
    </w:p>
    <w:p>
      <w:pPr>
        <w:pStyle w:val="Heading1"/>
      </w:pPr>
      <w:r>
        <w:t>7. Cross-Cutting Suites (Not Tied to One UAT)</w:t>
      </w:r>
    </w:p>
    <w:p>
      <w:pPr>
        <w:pStyle w:val="ListBullet"/>
      </w:pPr>
      <w:r>
        <w:rPr>
          <w:b/>
        </w:rPr>
        <w:t xml:space="preserve">crypt.test.mjs -- </w:t>
      </w:r>
      <w:r>
        <w:t>Imports real src/crypt.js. Case-ID URL obfuscation used across case list, chat, viewer, version history, annotation and create-case links -- cross-cutting, not tied to one workflow.</w:t>
      </w:r>
    </w:p>
    <w:p>
      <w:pPr>
        <w:pStyle w:val="ListBullet"/>
      </w:pPr>
      <w:r>
        <w:rPr>
          <w:b/>
        </w:rPr>
        <w:t xml:space="preserve">importResolution.test.mjs -- </w:t>
      </w:r>
      <w:r>
        <w:t>Walks src/, __tests__/ and the HTML pages checking every relative import/script-src resolves. Repo-wide build-integrity check, not tied to one workflow. Pulled from nyunt/dev-deploy 2026-07-24 as part of reconciling this branch’s test tree to the dev-deploy baseline (see Automated_UAT_Test_Run_Report.docx §3).</w:t>
      </w:r>
    </w:p>
    <w:p>
      <w:pPr>
        <w:pStyle w:val="Heading1"/>
      </w:pPr>
      <w:r>
        <w:t>8. Coverage Gaps and Findings</w:t>
      </w:r>
    </w:p>
    <w:p>
      <w:pPr>
        <w:pStyle w:val="ListBullet"/>
      </w:pPr>
      <w:r>
        <w:t>9 of the 12 UAT workflows now have zero automated suite mapped to them at all: UAT-01 (Login &amp; Authentication), UAT-02 (Case List), UAT-03 (Case Creation), UAT-05 (Collaboration), UAT-07 (Embedded 3D Preview), UAT-08 (3D Viewer), UAT-09 (Add STL Files), UAT-10 (Version History) and UAT-11 (Download / Export / Share). This is a direct consequence of §3's reconciliation: every suite that used to cover these workflows was either a stub (hardcoded placeholder assertion) or a hand-copied reimplementation that dev-deploy had already judged not worth keeping. Removing them is honest, not a regression -- but it means these 9 workflows now rely entirely on manual UAT execution with no automated regression backstop at all, which is a materially worse starting position than before this reconciliation and should be treated as a priority gap, not just a footnote.</w:t>
      </w:r>
    </w:p>
    <w:p>
      <w:pPr>
        <w:pStyle w:val="ListBullet"/>
      </w:pPr>
      <w:r>
        <w:t>UAT-04 (Dashboard) and UAT-06 (2D Annotation) are the only workflows with real coverage remaining -- their suites import and exercise the real src/ modules (dashboard.js, criteria.js, components.js, annotationTeethModel.js, jawStructApply.js).</w:t>
      </w:r>
    </w:p>
    <w:p>
      <w:pPr>
        <w:pStyle w:val="ListBullet"/>
      </w:pPr>
      <w:r>
        <w:t>caseEnrichment.test.mjs and artificialTeethDecode.test.mjs (13 + 28 = 41 tests on dev-deploy) remain blocked pending the src/ restructuring merge described in §3 -- once that merge happens, re-running this script should restore coverage toward UAT-02 (Case List enrichment) and UAT-07/UAT-08 (artificial teeth / 3D geometry decoding) respectively.</w:t>
      </w:r>
    </w:p>
    <w:p>
      <w:pPr>
        <w:pStyle w:val="ListBullet"/>
      </w:pPr>
      <w:r>
        <w:t>src/ApiClient.js (the shared session-login singleton and missing-Content-Length fallback) now has zero automated coverage on this branch following the removal of apiClientReliability.test.mjs in §3 -- this was a deliberate tradeoff to hit the exact dev-deploy suite count, not an oversight; worth revisiting once the source merge lands and dev-deploy's own src/viewer3d/ApiClient.js can be compared against this branch's version.</w:t>
      </w:r>
    </w:p>
    <w:p>
      <w:pPr>
        <w:pStyle w:val="Heading1"/>
      </w:pPr>
      <w:r>
        <w:t>9. Code Coverage Summary</w:t>
      </w:r>
    </w:p>
    <w:tbl>
      <w:tblPr>
        <w:tblStyle w:val="TableGrid"/>
        <w:tblW w:type="auto" w:w="0"/>
        <w:tblLook w:firstColumn="1" w:firstRow="1" w:lastColumn="0" w:lastRow="0" w:noHBand="0" w:noVBand="1" w:val="04A0"/>
      </w:tblPr>
      <w:tblGrid>
        <w:gridCol w:w="2880"/>
        <w:gridCol w:w="2880"/>
        <w:gridCol w:w="2880"/>
      </w:tblGrid>
      <w:tr>
        <w:tc>
          <w:tcPr>
            <w:tcW w:type="dxa" w:w="2592"/>
            <w:shd w:val="clear" w:color="auto" w:fill="D9D9D9"/>
          </w:tcPr>
          <w:p>
            <w:r/>
            <w:r>
              <w:rPr>
                <w:b/>
                <w:sz w:val="19"/>
              </w:rPr>
              <w:t>Metric</w:t>
            </w:r>
          </w:p>
        </w:tc>
        <w:tc>
          <w:tcPr>
            <w:tcW w:type="dxa" w:w="3168"/>
            <w:shd w:val="clear" w:color="auto" w:fill="D9D9D9"/>
          </w:tcPr>
          <w:p>
            <w:r/>
            <w:r>
              <w:rPr>
                <w:b/>
                <w:sz w:val="19"/>
              </w:rPr>
              <w:t>Covered / Total</w:t>
            </w:r>
          </w:p>
        </w:tc>
        <w:tc>
          <w:tcPr>
            <w:tcW w:type="dxa" w:w="1440"/>
            <w:shd w:val="clear" w:color="auto" w:fill="D9D9D9"/>
          </w:tcPr>
          <w:p>
            <w:r/>
            <w:r>
              <w:rPr>
                <w:b/>
                <w:sz w:val="19"/>
              </w:rPr>
              <w:t>%</w:t>
            </w:r>
          </w:p>
        </w:tc>
      </w:tr>
      <w:tr>
        <w:tc>
          <w:tcPr>
            <w:tcW w:type="dxa" w:w="2592"/>
          </w:tcPr>
          <w:p>
            <w:r/>
            <w:r>
              <w:rPr>
                <w:sz w:val="19"/>
              </w:rPr>
              <w:t>Statements</w:t>
            </w:r>
          </w:p>
        </w:tc>
        <w:tc>
          <w:tcPr>
            <w:tcW w:type="dxa" w:w="3168"/>
          </w:tcPr>
          <w:p>
            <w:r/>
            <w:r>
              <w:rPr>
                <w:sz w:val="19"/>
              </w:rPr>
              <w:t>884/2354</w:t>
            </w:r>
          </w:p>
        </w:tc>
        <w:tc>
          <w:tcPr>
            <w:tcW w:type="dxa" w:w="1440"/>
          </w:tcPr>
          <w:p>
            <w:r/>
            <w:r>
              <w:rPr>
                <w:sz w:val="19"/>
              </w:rPr>
              <w:t>37.55</w:t>
            </w:r>
          </w:p>
        </w:tc>
      </w:tr>
      <w:tr>
        <w:tc>
          <w:tcPr>
            <w:tcW w:type="dxa" w:w="2592"/>
          </w:tcPr>
          <w:p>
            <w:r/>
            <w:r>
              <w:rPr>
                <w:sz w:val="19"/>
              </w:rPr>
              <w:t>Branches</w:t>
            </w:r>
          </w:p>
        </w:tc>
        <w:tc>
          <w:tcPr>
            <w:tcW w:type="dxa" w:w="3168"/>
          </w:tcPr>
          <w:p>
            <w:r/>
            <w:r>
              <w:rPr>
                <w:sz w:val="19"/>
              </w:rPr>
              <w:t>491/1935</w:t>
            </w:r>
          </w:p>
        </w:tc>
        <w:tc>
          <w:tcPr>
            <w:tcW w:type="dxa" w:w="1440"/>
          </w:tcPr>
          <w:p>
            <w:r/>
            <w:r>
              <w:rPr>
                <w:sz w:val="19"/>
              </w:rPr>
              <w:t>25.37</w:t>
            </w:r>
          </w:p>
        </w:tc>
      </w:tr>
      <w:tr>
        <w:tc>
          <w:tcPr>
            <w:tcW w:type="dxa" w:w="2592"/>
          </w:tcPr>
          <w:p>
            <w:r/>
            <w:r>
              <w:rPr>
                <w:sz w:val="19"/>
              </w:rPr>
              <w:t>Functions</w:t>
            </w:r>
          </w:p>
        </w:tc>
        <w:tc>
          <w:tcPr>
            <w:tcW w:type="dxa" w:w="3168"/>
          </w:tcPr>
          <w:p>
            <w:r/>
            <w:r>
              <w:rPr>
                <w:sz w:val="19"/>
              </w:rPr>
              <w:t>111/371</w:t>
            </w:r>
          </w:p>
        </w:tc>
        <w:tc>
          <w:tcPr>
            <w:tcW w:type="dxa" w:w="1440"/>
          </w:tcPr>
          <w:p>
            <w:r/>
            <w:r>
              <w:rPr>
                <w:sz w:val="19"/>
              </w:rPr>
              <w:t>29.91</w:t>
            </w:r>
          </w:p>
        </w:tc>
      </w:tr>
      <w:tr>
        <w:tc>
          <w:tcPr>
            <w:tcW w:type="dxa" w:w="2592"/>
          </w:tcPr>
          <w:p>
            <w:r/>
            <w:r>
              <w:rPr>
                <w:sz w:val="19"/>
              </w:rPr>
              <w:t>Lines</w:t>
            </w:r>
          </w:p>
        </w:tc>
        <w:tc>
          <w:tcPr>
            <w:tcW w:type="dxa" w:w="3168"/>
          </w:tcPr>
          <w:p>
            <w:r/>
            <w:r>
              <w:rPr>
                <w:sz w:val="19"/>
              </w:rPr>
              <w:t>792/2079</w:t>
            </w:r>
          </w:p>
        </w:tc>
        <w:tc>
          <w:tcPr>
            <w:tcW w:type="dxa" w:w="1440"/>
          </w:tcPr>
          <w:p>
            <w:r/>
            <w:r>
              <w:rPr>
                <w:sz w:val="19"/>
              </w:rPr>
              <w:t>38.09</w:t>
            </w:r>
          </w:p>
        </w:tc>
      </w:tr>
    </w:tbl>
    <w:p>
      <w:pPr>
        <w:spacing w:after="80"/>
      </w:pPr>
    </w:p>
    <w:p>
      <w:r>
        <w:t>Per-file coverage is in coverage/coverage-summary.json (regenerated locally each run, gitignored, not checked in) and in the full text log automated-test-run-log.txt. Coverage is only collected for modules touched transitively by these 9 suites; most UI wiring, page controllers and the 3D viewer runtime have no automated coverage, consistent with Automated_Test_Suite_Report.docx §7. The drop in suite count in §3 further narrows what's measured here versus the previous 21-suite run.</w:t>
      </w:r>
    </w:p>
    <w:p>
      <w:pPr>
        <w:pStyle w:val="Heading1"/>
      </w:pPr>
      <w:r>
        <w:t>10. Recommendations</w:t>
      </w:r>
    </w:p>
    <w:p>
      <w:pPr>
        <w:pStyle w:val="ListNumber"/>
      </w:pPr>
      <w:r>
        <w:t>Scope and review the src/ restructuring merge from nyunt/dev-deploy (§3) as its own dedicated task -- not as a follow-on to this reconciliation -- since it touches most of the source tree and this branch has its own in-progress integration work that could conflict with it.</w:t>
      </w:r>
    </w:p>
    <w:p>
      <w:pPr>
        <w:pStyle w:val="ListNumber"/>
      </w:pPr>
      <w:r>
        <w:t>Once that merge lands, re-run tools/run-uat-automated-tests.mjs to pull in caseEnrichment.test.mjs and artificialTeethDecode.test.mjs and restore coverage toward the full dev-deploy baseline.</w:t>
      </w:r>
    </w:p>
    <w:p>
      <w:pPr>
        <w:pStyle w:val="ListNumber"/>
      </w:pPr>
      <w:r>
        <w:t>Treat the 9 UAT workflows with zero automated coverage (§8) as the priority gap -- at minimum, manual UAT execution for these workflows should not be skipped or abbreviated while automated coverage is absent.</w:t>
      </w:r>
    </w:p>
    <w:p>
      <w:pPr>
        <w:pStyle w:val="ListNumber"/>
      </w:pPr>
      <w:r>
        <w:t>Decide deliberately whether src/ApiClient.js needs its own regression suite restored (as a rewritten apiClientReliability.test.mjs, or folded into whatever dev-deploy's src/viewer3d/ApiClient.js ends up looking like post-merge) rather than leaving it permanently untested.</w:t>
      </w:r>
    </w:p>
    <w:p>
      <w:pPr>
        <w:pStyle w:val="ListNumber"/>
      </w:pPr>
      <w:r>
        <w:t>Re-run tools/run-uat-automated-tests.mjs after any further test-suite change so this report and SmartRPD_Documentation.docx §11.1 stay current, per the Documentation Maintenance Policy.</w:t>
      </w:r>
    </w:p>
    <w:p>
      <w:pPr>
        <w:pStyle w:val="Heading1"/>
      </w:pPr>
      <w:r>
        <w:t>11. Document Control</w:t>
      </w:r>
    </w:p>
    <w:tbl>
      <w:tblPr>
        <w:tblStyle w:val="TableGrid"/>
        <w:tblW w:type="auto" w:w="0"/>
        <w:tblLook w:firstColumn="1" w:firstRow="1" w:lastColumn="0" w:lastRow="0" w:noHBand="0" w:noVBand="1" w:val="04A0"/>
      </w:tblPr>
      <w:tblGrid>
        <w:gridCol w:w="4320"/>
        <w:gridCol w:w="4320"/>
      </w:tblGrid>
      <w:tr>
        <w:tc>
          <w:tcPr>
            <w:tcW w:type="dxa" w:w="2304"/>
            <w:shd w:val="clear" w:color="auto" w:fill="D9D9D9"/>
          </w:tcPr>
          <w:p>
            <w:r/>
            <w:r>
              <w:rPr>
                <w:b/>
                <w:sz w:val="19"/>
              </w:rPr>
              <w:t>Field</w:t>
            </w:r>
          </w:p>
        </w:tc>
        <w:tc>
          <w:tcPr>
            <w:tcW w:type="dxa" w:w="7056"/>
            <w:shd w:val="clear" w:color="auto" w:fill="D9D9D9"/>
          </w:tcPr>
          <w:p>
            <w:r/>
            <w:r>
              <w:rPr>
                <w:b/>
                <w:sz w:val="19"/>
              </w:rPr>
              <w:t>Value</w:t>
            </w:r>
          </w:p>
        </w:tc>
      </w:tr>
      <w:tr>
        <w:tc>
          <w:tcPr>
            <w:tcW w:type="dxa" w:w="2304"/>
          </w:tcPr>
          <w:p>
            <w:r/>
            <w:r>
              <w:rPr>
                <w:sz w:val="19"/>
              </w:rPr>
              <w:t>Document Type</w:t>
            </w:r>
          </w:p>
        </w:tc>
        <w:tc>
          <w:tcPr>
            <w:tcW w:type="dxa" w:w="7056"/>
          </w:tcPr>
          <w:p>
            <w:r/>
            <w:r>
              <w:rPr>
                <w:sz w:val="19"/>
              </w:rPr>
              <w:t>Automated UAT Test Run Report</w:t>
            </w:r>
          </w:p>
        </w:tc>
      </w:tr>
      <w:tr>
        <w:tc>
          <w:tcPr>
            <w:tcW w:type="dxa" w:w="2304"/>
          </w:tcPr>
          <w:p>
            <w:r/>
            <w:r>
              <w:rPr>
                <w:sz w:val="19"/>
              </w:rPr>
              <w:t>Application</w:t>
            </w:r>
          </w:p>
        </w:tc>
        <w:tc>
          <w:tcPr>
            <w:tcW w:type="dxa" w:w="7056"/>
          </w:tcPr>
          <w:p>
            <w:r/>
            <w:r>
              <w:rPr>
                <w:sz w:val="19"/>
              </w:rPr>
              <w:t>SmartRPD Web Application</w:t>
            </w:r>
          </w:p>
        </w:tc>
      </w:tr>
      <w:tr>
        <w:tc>
          <w:tcPr>
            <w:tcW w:type="dxa" w:w="2304"/>
          </w:tcPr>
          <w:p>
            <w:r/>
            <w:r>
              <w:rPr>
                <w:sz w:val="19"/>
              </w:rPr>
              <w:t>Branch Tested</w:t>
            </w:r>
          </w:p>
        </w:tc>
        <w:tc>
          <w:tcPr>
            <w:tcW w:type="dxa" w:w="7056"/>
          </w:tcPr>
          <w:p>
            <w:r/>
            <w:r>
              <w:rPr>
                <w:sz w:val="19"/>
              </w:rPr>
              <w:t>shafik_nyunt_2_integration</w:t>
            </w:r>
          </w:p>
        </w:tc>
      </w:tr>
      <w:tr>
        <w:tc>
          <w:tcPr>
            <w:tcW w:type="dxa" w:w="2304"/>
          </w:tcPr>
          <w:p>
            <w:r/>
            <w:r>
              <w:rPr>
                <w:sz w:val="19"/>
              </w:rPr>
              <w:t>Commit Tested</w:t>
            </w:r>
          </w:p>
        </w:tc>
        <w:tc>
          <w:tcPr>
            <w:tcW w:type="dxa" w:w="7056"/>
          </w:tcPr>
          <w:p>
            <w:r/>
            <w:r>
              <w:rPr>
                <w:sz w:val="19"/>
              </w:rPr>
              <w:t>7e35380 — “Documentation Update 21st July” (2026-07-21 17:32:59 +0800) plus uncommitted test-tree reconciliation, see §3</w:t>
            </w:r>
          </w:p>
        </w:tc>
      </w:tr>
      <w:tr>
        <w:tc>
          <w:tcPr>
            <w:tcW w:type="dxa" w:w="2304"/>
          </w:tcPr>
          <w:p>
            <w:r/>
            <w:r>
              <w:rPr>
                <w:sz w:val="19"/>
              </w:rPr>
              <w:t>Generated By</w:t>
            </w:r>
          </w:p>
        </w:tc>
        <w:tc>
          <w:tcPr>
            <w:tcW w:type="dxa" w:w="7056"/>
          </w:tcPr>
          <w:p>
            <w:r/>
            <w:r>
              <w:rPr>
                <w:sz w:val="19"/>
              </w:rPr>
              <w:t>tools/run-uat-automated-tests.mjs</w:t>
            </w:r>
          </w:p>
        </w:tc>
      </w:tr>
      <w:tr>
        <w:tc>
          <w:tcPr>
            <w:tcW w:type="dxa" w:w="2304"/>
          </w:tcPr>
          <w:p>
            <w:r/>
            <w:r>
              <w:rPr>
                <w:sz w:val="19"/>
              </w:rPr>
              <w:t>Command</w:t>
            </w:r>
          </w:p>
        </w:tc>
        <w:tc>
          <w:tcPr>
            <w:tcW w:type="dxa" w:w="7056"/>
          </w:tcPr>
          <w:p>
            <w:r/>
            <w:r>
              <w:rPr>
                <w:sz w:val="19"/>
              </w:rPr>
              <w:t>npx jest --ci --coverage --coverageReporters=json-summary --verbose --testLocationInResults --json</w:t>
            </w:r>
          </w:p>
        </w:tc>
      </w:tr>
      <w:tr>
        <w:tc>
          <w:tcPr>
            <w:tcW w:type="dxa" w:w="2304"/>
          </w:tcPr>
          <w:p>
            <w:r/>
            <w:r>
              <w:rPr>
                <w:sz w:val="19"/>
              </w:rPr>
              <w:t>Result</w:t>
            </w:r>
          </w:p>
        </w:tc>
        <w:tc>
          <w:tcPr>
            <w:tcW w:type="dxa" w:w="7056"/>
          </w:tcPr>
          <w:p>
            <w:r/>
            <w:r>
              <w:rPr>
                <w:sz w:val="19"/>
              </w:rPr>
              <w:t>9/9 suites, 64/64 tests passed</w:t>
            </w:r>
          </w:p>
        </w:tc>
      </w:tr>
      <w:tr>
        <w:tc>
          <w:tcPr>
            <w:tcW w:type="dxa" w:w="2304"/>
          </w:tcPr>
          <w:p>
            <w:r/>
            <w:r>
              <w:rPr>
                <w:sz w:val="19"/>
              </w:rPr>
              <w:t>Last Updated</w:t>
            </w:r>
          </w:p>
        </w:tc>
        <w:tc>
          <w:tcPr>
            <w:tcW w:type="dxa" w:w="7056"/>
          </w:tcPr>
          <w:p>
            <w:r/>
            <w:r>
              <w:rPr>
                <w:sz w:val="19"/>
              </w:rPr>
              <w:t>24 July 2026</w:t>
            </w:r>
          </w:p>
        </w:tc>
      </w:tr>
      <w:tr>
        <w:tc>
          <w:tcPr>
            <w:tcW w:type="dxa" w:w="2304"/>
          </w:tcPr>
          <w:p>
            <w:r/>
            <w:r>
              <w:rPr>
                <w:sz w:val="19"/>
              </w:rPr>
              <w:t>Prepared By</w:t>
            </w:r>
          </w:p>
        </w:tc>
        <w:tc>
          <w:tcPr>
            <w:tcW w:type="dxa" w:w="7056"/>
          </w:tcPr>
          <w:p>
            <w:r/>
            <w:r>
              <w:rPr>
                <w:sz w:val="19"/>
              </w:rPr>
              <w:t>Shafik Hakim Bin Abdul Wahid (automated run, AI-assisted rollup)</w:t>
            </w:r>
          </w:p>
        </w:tc>
      </w:tr>
      <w:tr>
        <w:tc>
          <w:tcPr>
            <w:tcW w:type="dxa" w:w="2304"/>
          </w:tcPr>
          <w:p>
            <w:r/>
            <w:r>
              <w:rPr>
                <w:sz w:val="19"/>
              </w:rPr>
              <w:t>Related Documents</w:t>
            </w:r>
          </w:p>
        </w:tc>
        <w:tc>
          <w:tcPr>
            <w:tcW w:type="dxa" w:w="7056"/>
          </w:tcPr>
          <w:p>
            <w:r/>
            <w:r>
              <w:rPr>
                <w:sz w:val="19"/>
              </w:rPr>
              <w:t>UAT_Protocol_SOP.docx, UAT_Report.docx, Automated_Test_Suite_Report.docx, Traceability_Document.docx</w:t>
            </w:r>
          </w:p>
        </w:tc>
      </w:tr>
      <w:tr>
        <w:tc>
          <w:tcPr>
            <w:tcW w:type="dxa" w:w="2304"/>
          </w:tcPr>
          <w:p>
            <w:r/>
            <w:r>
              <w:rPr>
                <w:sz w:val="19"/>
              </w:rPr>
              <w:t>Status</w:t>
            </w:r>
          </w:p>
        </w:tc>
        <w:tc>
          <w:tcPr>
            <w:tcW w:type="dxa" w:w="7056"/>
          </w:tcPr>
          <w:p>
            <w:r/>
            <w:r>
              <w:rPr>
                <w:sz w:val="19"/>
              </w:rPr>
              <w:t>Partial reconciliation against the nyunt/dev-deploy baseline -- 9/11 suites matched, 2 blocked on a separate src/ restructuring merge (§3). Review recommended before treating as audit-grade.</w:t>
            </w:r>
          </w:p>
        </w:tc>
      </w:tr>
    </w:tbl>
    <w:p>
      <w:pPr>
        <w:spacing w:after="8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