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SmartRPD Web Application</w:t>
      </w:r>
    </w:p>
    <w:p>
      <w:pPr>
        <w:spacing w:after="40"/>
      </w:pPr>
      <w:r>
        <w:rPr>
          <w:b/>
          <w:sz w:val="32"/>
        </w:rPr>
        <w:t>Cybersecurity Protocol Document</w:t>
      </w:r>
    </w:p>
    <w:p>
      <w:pPr>
        <w:spacing w:after="240"/>
      </w:pPr>
      <w:r>
        <w:rPr>
          <w:i/>
          <w:sz w:val="22"/>
        </w:rPr>
        <w:t>First draft — current security posture, known exposures, and hardening protocol</w:t>
      </w:r>
    </w:p>
    <w:p>
      <w:r>
        <w:rPr>
          <w:i/>
          <w:color w:val="C00000"/>
        </w:rPr>
        <w:t>DRAFT STATUS: This is a first draft assembled by reading the current codebase, dependency tree and deployment configuration on this branch, cross-referenced against the existing Documentations set (Maintenance and Operational Runbook.docx, DevOps and Deployment.docx, UAT_Protocol_SOP.docx). It documents what the security posture actually is today, not an aspirational policy. Findings marked “Confirmed in code” were verified by reading the referenced file directly; this document should be reviewed and signed off by the Approving Authority before being treated as the governing protocol, per the same review discipline already applied to Traceability_Document.docx.</w:t>
      </w:r>
    </w:p>
    <w:p>
      <w:pPr>
        <w:pStyle w:val="Heading1"/>
      </w:pPr>
      <w:r>
        <w:t>1. Purpose and Scope</w:t>
      </w:r>
    </w:p>
    <w:p>
      <w:r>
        <w:t>This document defines the current cybersecurity posture of the SmartRPD Web Application, catalogues the concrete exposures found in the codebase and pipeline as of this draft, and sets out the protocol for closing them and keeping the posture watertight going forward. It covers the frontend web client (this repository), its build/deploy pipelines (GitHub Actions “Deploy Test Site” workflow and the Jenkins/EC2 pipeline described in DevOps and Deployment.docx), and the data it handles -- including per-tooth clinical/case information that should be treated as sensitive patient-adjacent data even where no formal regulatory classification has been assigned.</w:t>
      </w:r>
    </w:p>
    <w:p>
      <w:r>
        <w:t>Out of scope: the backend API (live.api.smartrpdai.com) and its infrastructure, which are not in this repository and cannot be audited from here. Every finding below is scoped to what the frontend controls, sends to, or exposes about that backend.</w:t>
      </w:r>
    </w:p>
    <w:p>
      <w:pPr>
        <w:pStyle w:val="Heading1"/>
      </w:pPr>
      <w:r>
        <w:t>2. Current Security Posture — Executive Summary</w:t>
      </w:r>
    </w:p>
    <w:p>
      <w:r>
        <w:t>The application authenticates every session against a single shared service account whose plaintext credentials are committed to source control and shipped to every browser in the production bundle. Multi-factor authentication (OTP) exists in the codebase but is currently disabled by a temporary code path. Route protection is client-side only. There are no HTTP security headers configured. Taken together, these mean the application's real access control currently rests entirely on the backend API's own authorization checks, not on anything enforced by this client -- which is a reasonable secondary layer but not a substitute for the primary one being absent here. None of this is a new regression introduced by a recent change; it reflects the application's history as a rapidly built prototype (config.js's own in-code comment already flags the credential exposure, see §4.1), and is now the starting point this protocol works from.</w:t>
      </w:r>
    </w:p>
    <w:p>
      <w:r>
        <w:rPr>
          <w:b/>
        </w:rPr>
        <w:t xml:space="preserve">Overall posture rating: </w:t>
      </w:r>
      <w:r>
        <w:t>Weak / High Risk — driven primarily by the P0/P1 findings in §10, not by any single exotic vulnerability.</w:t>
      </w:r>
    </w:p>
    <w:p>
      <w:pPr>
        <w:pStyle w:val="Heading1"/>
      </w:pPr>
      <w:r>
        <w:t>3. Data Classification</w:t>
      </w:r>
    </w:p>
    <w:p>
      <w:r>
        <w:t>Case records handled by this application include per-tooth clinical notes (src/js/2D/clinicalInfo.js), patient case identifiers, dental lab and clinician usernames/emails, and 3D scan/model data. This is healthcare-adjacent data even though the application is a dental-lab design tool rather than a clinical record system. This document treats it as Sensitive for the purposes of the recommendations in §4–§9, regardless of whether a formal regulatory regime (e.g. HIPAA-equivalent) has been confirmed as applicable — that confirmation is itself an open action item (§10, F-13).</w:t>
      </w:r>
    </w:p>
    <w:p>
      <w:pPr>
        <w:pStyle w:val="Heading1"/>
      </w:pPr>
      <w:r>
        <w:t>4. Authentication and Access Control</w:t>
      </w:r>
    </w:p>
    <w:p>
      <w:pPr>
        <w:pStyle w:val="Heading2"/>
      </w:pPr>
      <w:r>
        <w:t>4.1 Shared service-account credentials shipped to the client</w:t>
      </w:r>
    </w:p>
    <w:p>
      <w:r>
        <w:t>Confirmed in code. src/config.js exports LOGIN_CREDENTIALS containing a live username and plaintext password, plus a MACHINE_ID and VIEWER_UUID. src/ApiClient.js's login() calls POST /user/login with these exact credentials to establish the session every API call in the app depends on (getSessionLogin() / ensureSession()). This means:</w:t>
      </w:r>
    </w:p>
    <w:p>
      <w:pPr>
        <w:pStyle w:val="ListBullet"/>
      </w:pPr>
      <w:r>
        <w:t>The credential is not a secret — it is readable by any user in browser DevTools and is baked into dist/bundle.js, which is committed to git history (so rotating it in config.js does not remove the old value from history).</w:t>
      </w:r>
    </w:p>
    <w:p>
      <w:pPr>
        <w:pStyle w:val="ListBullet"/>
      </w:pPr>
      <w:r>
        <w:t>Every user of the application, and every request the app makes, effectively acts as one shared account rather than as the individually logged-in user — config.js's own comment already flags this (“centralizing them here does NOT make them secret”).</w:t>
      </w:r>
    </w:p>
    <w:p>
      <w:pPr>
        <w:pStyle w:val="ListBullet"/>
      </w:pPr>
      <w:r>
        <w:t>There is no way to attribute an API-level action to an individual user from the credential alone.</w:t>
      </w:r>
    </w:p>
    <w:p>
      <w:r>
        <w:rPr>
          <w:b/>
        </w:rPr>
        <w:t xml:space="preserve">Protocol: </w:t>
      </w:r>
      <w:r>
        <w:t>authentication must move server-side — either a short-lived token exchange after the user's own login succeeds, or a backend proxy that holds the service credential and is never exposed to the browser. Until that lands, the current value in config.js should still be rotated immediately (see §9) because it is already public in this repository's history.</w:t>
      </w:r>
    </w:p>
    <w:p>
      <w:pPr>
        <w:pStyle w:val="Heading2"/>
      </w:pPr>
      <w:r>
        <w:t>4.2 Multi-factor authentication is currently disabled</w:t>
      </w:r>
    </w:p>
    <w:p>
      <w:r>
        <w:t>Confirmed in code. src/js/login.js's sendOTP() stores the logged-in user and returns success immediately after the initial username/password call; the OTP-generation and redirect logic is still present but commented out under a `TEMP-OTP-DISABLED` marker, matching commit 362c4f5 (“temp disable the OTP”). The verifyAndLogin() function and the full OTP-entry UI still exist and are wired up, so MFA can be restored by re-enabling this block. UAT_Report.docx UAT-01 describes OTP as “still required for all accounts,” which no longer matches what this branch's code does — that UAT case needs to be re-verified against current code before the next UAT round (see also TSK-013 in Feedback_Triage_Report.docx, which is the tracked, deliberate discussion of removing OTP for verified Dental Lab accounts specifically — the current state is a blanket, undocumented bypass for everyone, which is a different and broader change than TSK-013 describes).</w:t>
      </w:r>
    </w:p>
    <w:p>
      <w:r>
        <w:rPr>
          <w:b/>
        </w:rPr>
        <w:t xml:space="preserve">Protocol: </w:t>
      </w:r>
      <w:r>
        <w:t>treat re-enabling OTP as a P1 item independent of TSK-013's outcome (§10, F-2). If OTP is to stay off intentionally for this environment, that decision should be recorded explicitly (who approved it, for which environment, and why) rather than left as a commented-out code block, and UAT-01's pass criteria should be updated to match.</w:t>
      </w:r>
    </w:p>
    <w:p>
      <w:pPr>
        <w:pStyle w:val="Heading2"/>
      </w:pPr>
      <w:r>
        <w:t>4.3 Client-side-only route guard</w:t>
      </w:r>
    </w:p>
    <w:p>
      <w:r>
        <w:t>Confirmed in code. src/js/authGuard.js checks only whether localStorage.loggedInUser.uuid is present and redirects to the login page if not. Setting that key in DevTools (localStorage.setItem) grants access to any guarded page in the browser without a real session. This is a reasonable UX convenience (avoids a flash of protected content) but provides no actual access control by itself -- the API backend's own per-request authorization is the only real gate, and this document cannot verify that gate from the frontend repository.</w:t>
      </w:r>
    </w:p>
    <w:p>
      <w:r>
        <w:rPr>
          <w:b/>
        </w:rPr>
        <w:t xml:space="preserve">Protocol: </w:t>
      </w:r>
      <w:r>
        <w:t>confirm with the backend team that every API endpoint independently authorizes each request (never trusts a client-supplied UUID/role without server-side verification); document that confirmation here once received. Do not treat authGuard.js as a security control in any future review.</w:t>
      </w:r>
    </w:p>
    <w:p>
      <w:pPr>
        <w:pStyle w:val="Heading2"/>
      </w:pPr>
      <w:r>
        <w:t>4.4 Open-redirect protection — working as intended (positive finding)</w:t>
      </w:r>
    </w:p>
    <w:p>
      <w:r>
        <w:t>postLoginTarget() in login.js validates that a stashed post-login redirect URL is same-origin before honoring it, and consumes the stash after one use. This is a correct, deliberate mitigation already in place and should be preserved in any future rework of the login flow.</w:t>
      </w:r>
    </w:p>
    <w:p>
      <w:pPr>
        <w:pStyle w:val="Heading1"/>
      </w:pPr>
      <w:r>
        <w:t>5. Secrets and Credential Management</w:t>
      </w:r>
    </w:p>
    <w:p>
      <w:pPr>
        <w:pStyle w:val="Heading2"/>
      </w:pPr>
      <w:r>
        <w:t>5.1 Build-time environment variables are injected wholesale into the public bundle</w:t>
      </w:r>
    </w:p>
    <w:p>
      <w:r>
        <w:t>Confirmed in code. webpack.config.js:</w:t>
      </w:r>
    </w:p>
    <w:p>
      <w:pPr>
        <w:ind w:left="432"/>
      </w:pPr>
      <w:r>
        <w:rPr>
          <w:rFonts w:ascii="Consolas" w:hAnsi="Consolas"/>
          <w:sz w:val="19"/>
        </w:rPr>
        <w:t>new webpack.DefinePlugin({ 'process.env': JSON.stringify(process.env) })</w:t>
      </w:r>
    </w:p>
    <w:p>
      <w:r>
        <w:t>This serializes the entire process.env of whatever machine runs npm run build into dist/bundle.js, not just variables the app actually references. Maintenance and Operational Runbook.docx already flags this as an open risk (§16.3: “confirm the build was run in an environment with no unrelated secrets in process.env”) and notes it is currently a manual precaution, not an automated guarantee.</w:t>
      </w:r>
    </w:p>
    <w:p>
      <w:r>
        <w:rPr>
          <w:b/>
        </w:rPr>
        <w:t xml:space="preserve">Protocol: </w:t>
      </w:r>
      <w:r>
        <w:t>replace the unscoped DefinePlugin with an explicit allow-list of the specific variables the app needs (e.g. only process.env.API_BASE if that becomes configurable), so a CI secret or credential set in the build environment for an unrelated purpose can never leak into a public bundle by accident.</w:t>
      </w:r>
    </w:p>
    <w:p>
      <w:pPr>
        <w:pStyle w:val="Heading2"/>
      </w:pPr>
      <w:r>
        <w:t>5.2 Sensitive identity data passed via URL query string</w:t>
      </w:r>
    </w:p>
    <w:p>
      <w:r>
        <w:t>Confirmed in code. src/js/caseManagement.js's export-3D-viewer-link handler builds an `auto_user=&lt;base64&gt;` query parameter carrying the shared account's username, email and admin flag, then opens it in a new tab:</w:t>
      </w:r>
    </w:p>
    <w:p>
      <w:pPr>
        <w:ind w:left="432"/>
      </w:pPr>
      <w:r>
        <w:rPr>
          <w:rFonts w:ascii="Consolas" w:hAnsi="Consolas"/>
          <w:sz w:val="19"/>
        </w:rPr>
        <w:t>const token = encodeURIComponent(btoa(JSON.stringify(exportUser)));</w:t>
        <w:br/>
        <w:t>window.open(`${url3d}&amp;auto_user=${token}`, "_blank");</w:t>
      </w:r>
    </w:p>
    <w:p>
      <w:r>
        <w:t>base64 is encoding, not encryption — the payload is trivially readable. URLs land in browser history, any proxy/CDN access log, and the Referer header of any third-party resource the destination page loads. This is the same class of exposure as the QR-code share link introduced for TSK-004/TSK-009/TSK-010 (UAT_Report.docx UAT-11) and should be reviewed under the same lens.</w:t>
      </w:r>
    </w:p>
    <w:p>
      <w:r>
        <w:rPr>
          <w:b/>
        </w:rPr>
        <w:t xml:space="preserve">Protocol: </w:t>
      </w:r>
      <w:r>
        <w:t>replace the auto_user query parameter with a short-lived, server-issued, single-use token that the 3D viewer exchanges for a session, rather than embedding identity data client-side in a URL.</w:t>
      </w:r>
    </w:p>
    <w:p>
      <w:pPr>
        <w:pStyle w:val="Heading2"/>
      </w:pPr>
      <w:r>
        <w:t>5.3 Repository hygiene</w:t>
      </w:r>
    </w:p>
    <w:p>
      <w:pPr>
        <w:pStyle w:val="ListBullet"/>
      </w:pPr>
      <w:r>
        <w:t>cookies.json (a Postman cookie-jar file, currently empty) was tracked in git at the repo root and has since been relocated to legacy/cookies.json as part of a repository cleanup pass. Empty today, but a cookie jar is exactly the kind of file that accidentally gains real session cookies during local debugging and then gets committed without anyone noticing. Moving it out of the root reduces accidental exposure surface but does not remove the underlying risk — recommend still removing it from tracking entirely and adding it to .gitignore.</w:t>
      </w:r>
    </w:p>
    <w:p>
      <w:pPr>
        <w:pStyle w:val="ListBullet"/>
      </w:pPr>
      <w:r>
        <w:t>dist/bundle.js and dist/bundle.js.LICENSE.txt are committed to git. Combined with §5.1, this means any secret ever accidentally present in a build environment is permanently recoverable from git history even after the source-level leak is fixed. Recommend build artifacts be produced by CI only and not committed, or at minimum that this tradeoff is a deliberate, documented decision.</w:t>
      </w:r>
    </w:p>
    <w:p>
      <w:pPr>
        <w:pStyle w:val="ListBullet"/>
      </w:pPr>
      <w:r>
        <w:t>No .env file is used or required (DevOps and Deployment.docx § Environment Variables); there is accordingly nothing to leak from that specific vector today, but §5.1 means this could change silently the moment someone's local .env exists at build time.</w:t>
      </w:r>
    </w:p>
    <w:p>
      <w:pPr>
        <w:pStyle w:val="Heading1"/>
      </w:pPr>
      <w:r>
        <w:t>6. Cryptography and Data-in-Transit</w:t>
      </w:r>
    </w:p>
    <w:p>
      <w:pPr>
        <w:pStyle w:val="Heading2"/>
      </w:pPr>
      <w:r>
        <w:t>6.1 src/crypt.js is obfuscation, not encryption — and is scoped correctly today</w:t>
      </w:r>
    </w:p>
    <w:p>
      <w:r>
        <w:t>Confirmed in code. The lol() function XORs input against a hardcoded static key ("PgrJrkwpeG9pd") and base64-encodes the result to obfuscate numeric case IDs in URLs. This provides no real confidentiality (a fixed single-byte-repeating XOR key is trivially recoverable from any two known plaintext/ciphertext pairs) and the module's own comment correctly calls it “obfuscation,” not encryption. Its actual current use — making case-ID URLs non-obvious rather than protecting genuinely sensitive data — is a defensible use of obfuscation, provided real access control happens server-side (see §4.3) rather than relying on the case ID being unguessable.</w:t>
      </w:r>
    </w:p>
    <w:p>
      <w:r>
        <w:rPr>
          <w:b/>
        </w:rPr>
        <w:t xml:space="preserve">Protocol: </w:t>
      </w:r>
      <w:r>
        <w:t>keep lol() scoped to cosmetic URL obfuscation only. Do not extend its use to anything that needs genuine confidentiality (e.g. clinical note payloads, tokens) without replacing it with a real algorithm (e.g. AES-GCM via the Web Crypto API) and a non-hardcoded key.</w:t>
      </w:r>
    </w:p>
    <w:p>
      <w:pPr>
        <w:pStyle w:val="Heading2"/>
      </w:pPr>
      <w:r>
        <w:t>6.2 Transport encryption</w:t>
      </w:r>
    </w:p>
    <w:p>
      <w:r>
        <w:t>API calls to live.api.smartrpdai.com use https:// consistently across ApiClient.js and login.js. The clinical-info codec (§6 of Automated_Test_Suite_Report.docx) implements a .NET BinaryFormatter-compatible envelope for interoperability with the desktop app, not for confidentiality — it should not be assumed to protect the payload in transit or at rest beyond whatever the HTTPS channel and backend storage already provide.</w:t>
      </w:r>
    </w:p>
    <w:p>
      <w:r>
        <w:rPr>
          <w:b/>
        </w:rPr>
        <w:t xml:space="preserve">Protocol: </w:t>
      </w:r>
      <w:r>
        <w:t>confirm TLS termination and certificate configuration for both the GitHub Pages live site (handled by GitHub) and the EC2/nginx deployment path (nginx.conf in this repo defines only a plain port-80 server block — see §8.1); document wherever TLS is actually terminated for the latter.</w:t>
      </w:r>
    </w:p>
    <w:p>
      <w:pPr>
        <w:pStyle w:val="Heading1"/>
      </w:pPr>
      <w:r>
        <w:t>7. Client-Side Application Security</w:t>
      </w:r>
    </w:p>
    <w:p>
      <w:pPr>
        <w:pStyle w:val="ListBullet"/>
      </w:pPr>
      <w:r>
        <w:t>No Content-Security-Policy, X-Frame-Options, X-Content-Type-Options or Referrer-Policy headers are set anywhere in the delivered configuration (nginx.conf) — see §8.1 for the fix, filed there since it is a deployment-config change rather than an application-code one.</w:t>
      </w:r>
    </w:p>
    <w:p>
      <w:pPr>
        <w:pStyle w:val="ListBullet"/>
      </w:pPr>
      <w:r>
        <w:t>Session/identity state lives in localStorage (loggedInUser), which is readable by any script running in the page's origin. This is standard for an SPA of this kind but means an XSS vulnerability anywhere in the app would be sufficient to fully impersonate the logged-in session — raising the importance of the CSP recommendation above as a defense-in-depth layer, not just a checkbox.</w:t>
      </w:r>
    </w:p>
    <w:p>
      <w:pPr>
        <w:pStyle w:val="ListBullet"/>
      </w:pPr>
      <w:r>
        <w:t>postLoginTarget()'s same-origin check (§4.4) is the one place open-redirect risk was actually considered and mitigated; no other URL-construction path in the codebase was found to have the same scrutiny applied — worth using as the template when reviewing other window.open()/location.href call sites (e.g. §5.2).</w:t>
      </w:r>
    </w:p>
    <w:p>
      <w:pPr>
        <w:pStyle w:val="Heading1"/>
      </w:pPr>
      <w:r>
        <w:t>8. Infrastructure, CI/CD and Deployment Security</w:t>
      </w:r>
    </w:p>
    <w:p>
      <w:pPr>
        <w:pStyle w:val="Heading2"/>
      </w:pPr>
      <w:r>
        <w:t>8.1 Missing HTTP security headers (nginx.conf)</w:t>
      </w:r>
    </w:p>
    <w:p>
      <w:r>
        <w:t>Confirmed in code. The nginx server block configures gzip and cache headers only — no security headers are set. Recommended minimum addition:</w:t>
      </w:r>
    </w:p>
    <w:p>
      <w:pPr>
        <w:ind w:left="432"/>
      </w:pPr>
      <w:r>
        <w:rPr>
          <w:rFonts w:ascii="Consolas" w:hAnsi="Consolas"/>
          <w:sz w:val="19"/>
        </w:rPr>
        <w:t>add_header X-Content-Type-Options "nosniff" always;</w:t>
        <w:br/>
        <w:t>add_header X-Frame-Options "DENY" always;</w:t>
        <w:br/>
        <w:t>add_header Referrer-Policy "strict-origin-when-cross-origin" always;</w:t>
        <w:br/>
        <w:t>add_header Content-Security-Policy "default-src 'self'; connect-src 'self' https://live.api.smartrpdai.com; ..." always;</w:t>
      </w:r>
    </w:p>
    <w:p>
      <w:r>
        <w:t>The exact CSP directive set needs a pass against every external resource the app actually loads (CDN-hosted three-stdlib/dat.gui modules referenced in createCase.js, the API origin, any embedded fonts) before being enforced — start in Content-Security-Policy-Report-Only to avoid breaking the 3D viewer's dynamic imports.</w:t>
      </w:r>
    </w:p>
    <w:p>
      <w:pPr>
        <w:pStyle w:val="Heading2"/>
      </w:pPr>
      <w:r>
        <w:t>8.2 Two deployment pipelines with materially different integrity guarantees</w:t>
      </w:r>
    </w:p>
    <w:p>
      <w:r>
        <w:t>This repository has two documented deployment paths that do not offer the same assurances:</w:t>
      </w:r>
    </w:p>
    <w:p>
      <w:pPr>
        <w:pStyle w:val="ListBullet"/>
      </w:pPr>
      <w:r>
        <w:t>GitHub Actions “Deploy Test Site” workflow (nyunt/dev-deploy → nyunt/dev-W7.1): runs npm run test:ci as a fail-closed gate, then publishes a manifest.json recording the commit SHA, buildId, a sha256 digest and timestamp (UAT_Protocol_SOP.docx §4). This gives a verifiable link between the live artifact and the exact commit/tests that produced it.</w:t>
      </w:r>
    </w:p>
    <w:p>
      <w:pPr>
        <w:pStyle w:val="ListBullet"/>
      </w:pPr>
      <w:r>
        <w:t>Jenkins/EC2 pipeline (Jenkinsfile): runs npm install, npm run build, then `sudo rm -rf /var/www/html/*` followed by `sudo cp` of the built files — no automated test gate, no manifest, no integrity digest, and every deploy step runs with sudo. A compromised or misconfigured Jenkins agent has unscoped write access to wipe and replace the entire production document root with no automated check in between.</w:t>
      </w:r>
    </w:p>
    <w:p>
      <w:r>
        <w:rPr>
          <w:b/>
        </w:rPr>
        <w:t xml:space="preserve">Protocol: </w:t>
      </w:r>
      <w:r>
        <w:t>bring the Jenkins/EC2 path up to parity with the GitHub Actions path: gate the deploy stage on npm run test:ci passing, and publish the same kind of manifest (commit SHA + digest + timestamp) so the EC2 target is equally auditable. Confirm with the team which pipeline is the one actually serving current production, per the open question already raised in Maintenance and Operational Runbook.docx § Deployment Runbook (“confirm which target ... is the one actually serving production”) — that ambiguity is itself a security-relevant gap, since it means it may not be clear which pipeline needs hardening first.</w:t>
      </w:r>
    </w:p>
    <w:p>
      <w:pPr>
        <w:pStyle w:val="Heading1"/>
      </w:pPr>
      <w:r>
        <w:t>9. Dependency and Supply-Chain Security</w:t>
      </w:r>
    </w:p>
    <w:p>
      <w:r>
        <w:t>`npm audit` against the current lockfile reports 29 known vulnerabilities across the full dependency tree (4 low, 8 moderate, 13 high, 4 critical). All are transitive devDependencies (webpack-dev-server's sockjs/ws/websocket-driver/uuid chain, shell-quote, and uglify-js pulled in via the unused top-level `require` package in package.json) — none currently reach the production bundle, which limits real-world exploitability, but a dev-server or build-time RCE/DoS is still a real risk to anyone running `npm run dev` or CI itself.</w:t>
      </w:r>
    </w:p>
    <w:tbl>
      <w:tblPr>
        <w:tblStyle w:val="TableGrid"/>
        <w:tblW w:type="auto" w:w="0"/>
        <w:tblLook w:firstColumn="1" w:firstRow="1" w:lastColumn="0" w:lastRow="0" w:noHBand="0" w:noVBand="1" w:val="04A0"/>
      </w:tblPr>
      <w:tblGrid>
        <w:gridCol w:w="2160"/>
        <w:gridCol w:w="2160"/>
        <w:gridCol w:w="2160"/>
        <w:gridCol w:w="2160"/>
      </w:tblGrid>
      <w:tr>
        <w:tc>
          <w:tcPr>
            <w:tcW w:type="dxa" w:w="2304"/>
            <w:shd w:val="clear" w:color="auto" w:fill="D9D9D9"/>
          </w:tcPr>
          <w:p>
            <w:r>
              <w:rPr>
                <w:b/>
                <w:sz w:val="19"/>
              </w:rPr>
              <w:t>Package</w:t>
            </w:r>
          </w:p>
        </w:tc>
        <w:tc>
          <w:tcPr>
            <w:tcW w:type="dxa" w:w="1152"/>
            <w:shd w:val="clear" w:color="auto" w:fill="D9D9D9"/>
          </w:tcPr>
          <w:p>
            <w:r>
              <w:rPr>
                <w:b/>
                <w:sz w:val="19"/>
              </w:rPr>
              <w:t>Severity</w:t>
            </w:r>
          </w:p>
        </w:tc>
        <w:tc>
          <w:tcPr>
            <w:tcW w:type="dxa" w:w="2736"/>
            <w:shd w:val="clear" w:color="auto" w:fill="D9D9D9"/>
          </w:tcPr>
          <w:p>
            <w:r>
              <w:rPr>
                <w:b/>
                <w:sz w:val="19"/>
              </w:rPr>
              <w:t>Advisory</w:t>
            </w:r>
          </w:p>
        </w:tc>
        <w:tc>
          <w:tcPr>
            <w:tcW w:type="dxa" w:w="3168"/>
            <w:shd w:val="clear" w:color="auto" w:fill="D9D9D9"/>
          </w:tcPr>
          <w:p>
            <w:r>
              <w:rPr>
                <w:b/>
                <w:sz w:val="19"/>
              </w:rPr>
              <w:t>Notes</w:t>
            </w:r>
          </w:p>
        </w:tc>
      </w:tr>
      <w:tr>
        <w:tc>
          <w:tcPr>
            <w:tcW w:type="dxa" w:w="2304"/>
          </w:tcPr>
          <w:p>
            <w:r>
              <w:rPr>
                <w:sz w:val="19"/>
              </w:rPr>
              <w:t>uglify-js &lt;=2.5.0</w:t>
            </w:r>
          </w:p>
        </w:tc>
        <w:tc>
          <w:tcPr>
            <w:tcW w:type="dxa" w:w="1152"/>
          </w:tcPr>
          <w:p>
            <w:r>
              <w:rPr>
                <w:sz w:val="19"/>
              </w:rPr>
              <w:t>Critical</w:t>
            </w:r>
          </w:p>
        </w:tc>
        <w:tc>
          <w:tcPr>
            <w:tcW w:type="dxa" w:w="2736"/>
          </w:tcPr>
          <w:p>
            <w:r>
              <w:rPr>
                <w:sz w:val="19"/>
              </w:rPr>
              <w:t>ReDoS / minification correctness</w:t>
            </w:r>
          </w:p>
        </w:tc>
        <w:tc>
          <w:tcPr>
            <w:tcW w:type="dxa" w:w="3168"/>
          </w:tcPr>
          <w:p>
            <w:r>
              <w:rPr>
                <w:sz w:val="19"/>
              </w:rPr>
              <w:t>Pulled in via the unused top-level `require` dependency; consider removing `require` from package.json entirely rather than patching around it.</w:t>
            </w:r>
          </w:p>
        </w:tc>
      </w:tr>
      <w:tr>
        <w:tc>
          <w:tcPr>
            <w:tcW w:type="dxa" w:w="2304"/>
          </w:tcPr>
          <w:p>
            <w:r>
              <w:rPr>
                <w:sz w:val="19"/>
              </w:rPr>
              <w:t>websocket-driver &lt;=0.7.4</w:t>
            </w:r>
          </w:p>
        </w:tc>
        <w:tc>
          <w:tcPr>
            <w:tcW w:type="dxa" w:w="1152"/>
          </w:tcPr>
          <w:p>
            <w:r>
              <w:rPr>
                <w:sz w:val="19"/>
              </w:rPr>
              <w:t>Critical</w:t>
            </w:r>
          </w:p>
        </w:tc>
        <w:tc>
          <w:tcPr>
            <w:tcW w:type="dxa" w:w="2736"/>
          </w:tcPr>
          <w:p>
            <w:r>
              <w:rPr>
                <w:sz w:val="19"/>
              </w:rPr>
              <w:t>Resource-limit bypass, message corruption</w:t>
            </w:r>
          </w:p>
        </w:tc>
        <w:tc>
          <w:tcPr>
            <w:tcW w:type="dxa" w:w="3168"/>
          </w:tcPr>
          <w:p>
            <w:r>
              <w:rPr>
                <w:sz w:val="19"/>
              </w:rPr>
              <w:t>Transitive via webpack-dev-server.</w:t>
            </w:r>
          </w:p>
        </w:tc>
      </w:tr>
      <w:tr>
        <w:tc>
          <w:tcPr>
            <w:tcW w:type="dxa" w:w="2304"/>
          </w:tcPr>
          <w:p>
            <w:r>
              <w:rPr>
                <w:sz w:val="19"/>
              </w:rPr>
              <w:t>ws 8.0.0-8.20.1</w:t>
            </w:r>
          </w:p>
        </w:tc>
        <w:tc>
          <w:tcPr>
            <w:tcW w:type="dxa" w:w="1152"/>
          </w:tcPr>
          <w:p>
            <w:r>
              <w:rPr>
                <w:sz w:val="19"/>
              </w:rPr>
              <w:t>High</w:t>
            </w:r>
          </w:p>
        </w:tc>
        <w:tc>
          <w:tcPr>
            <w:tcW w:type="dxa" w:w="2736"/>
          </w:tcPr>
          <w:p>
            <w:r>
              <w:rPr>
                <w:sz w:val="19"/>
              </w:rPr>
              <w:t>Uninitialized memory disclosure, DoS</w:t>
            </w:r>
          </w:p>
        </w:tc>
        <w:tc>
          <w:tcPr>
            <w:tcW w:type="dxa" w:w="3168"/>
          </w:tcPr>
          <w:p>
            <w:r>
              <w:rPr>
                <w:sz w:val="19"/>
              </w:rPr>
              <w:t>Transitive via webpack-dev-server.</w:t>
            </w:r>
          </w:p>
        </w:tc>
      </w:tr>
      <w:tr>
        <w:tc>
          <w:tcPr>
            <w:tcW w:type="dxa" w:w="2304"/>
          </w:tcPr>
          <w:p>
            <w:r>
              <w:rPr>
                <w:sz w:val="19"/>
              </w:rPr>
              <w:t>shell-quote</w:t>
            </w:r>
          </w:p>
        </w:tc>
        <w:tc>
          <w:tcPr>
            <w:tcW w:type="dxa" w:w="1152"/>
          </w:tcPr>
          <w:p>
            <w:r>
              <w:rPr>
                <w:sz w:val="19"/>
              </w:rPr>
              <w:t>High</w:t>
            </w:r>
          </w:p>
        </w:tc>
        <w:tc>
          <w:tcPr>
            <w:tcW w:type="dxa" w:w="2736"/>
          </w:tcPr>
          <w:p>
            <w:r>
              <w:rPr>
                <w:sz w:val="19"/>
              </w:rPr>
              <w:t>Newline-escape / ReDoS</w:t>
            </w:r>
          </w:p>
        </w:tc>
        <w:tc>
          <w:tcPr>
            <w:tcW w:type="dxa" w:w="3168"/>
          </w:tcPr>
          <w:p>
            <w:r>
              <w:rPr>
                <w:sz w:val="19"/>
              </w:rPr>
              <w:t>Transitive via webpack-dev-server.</w:t>
            </w:r>
          </w:p>
        </w:tc>
      </w:tr>
      <w:tr>
        <w:tc>
          <w:tcPr>
            <w:tcW w:type="dxa" w:w="2304"/>
          </w:tcPr>
          <w:p>
            <w:r>
              <w:rPr>
                <w:sz w:val="19"/>
              </w:rPr>
              <w:t>uuid &lt;11.1.1</w:t>
            </w:r>
          </w:p>
        </w:tc>
        <w:tc>
          <w:tcPr>
            <w:tcW w:type="dxa" w:w="1152"/>
          </w:tcPr>
          <w:p>
            <w:r>
              <w:rPr>
                <w:sz w:val="19"/>
              </w:rPr>
              <w:t>Moderate</w:t>
            </w:r>
          </w:p>
        </w:tc>
        <w:tc>
          <w:tcPr>
            <w:tcW w:type="dxa" w:w="2736"/>
          </w:tcPr>
          <w:p>
            <w:r>
              <w:rPr>
                <w:sz w:val="19"/>
              </w:rPr>
              <w:t>Buffer bounds check</w:t>
            </w:r>
          </w:p>
        </w:tc>
        <w:tc>
          <w:tcPr>
            <w:tcW w:type="dxa" w:w="3168"/>
          </w:tcPr>
          <w:p>
            <w:r>
              <w:rPr>
                <w:sz w:val="19"/>
              </w:rPr>
              <w:t>Transitive via sockjs / webpack-dev-server.</w:t>
            </w:r>
          </w:p>
        </w:tc>
      </w:tr>
    </w:tbl>
    <w:p>
      <w:pPr>
        <w:spacing w:after="80"/>
      </w:pPr>
    </w:p>
    <w:p>
      <w:r>
        <w:rPr>
          <w:b/>
        </w:rPr>
        <w:t xml:space="preserve">Protocol: </w:t>
      </w:r>
      <w:r>
        <w:t>run `npm audit fix` for the non-breaking fixes; evaluate removing the unused `require` package (package.json dependencies) to drop the uglify-js chain outright rather than forcing a breaking upgrade; re-run `npm audit` as part of the release checklist in Maintenance and Operational Runbook.docx § Before Release.</w:t>
      </w:r>
    </w:p>
    <w:p>
      <w:pPr>
        <w:pStyle w:val="Heading1"/>
      </w:pPr>
      <w:r>
        <w:t>10. Findings Summary</w:t>
      </w:r>
    </w:p>
    <w:p>
      <w:r>
        <w:t>Priority scale mirrors Feedback_Triage_Report.docx's existing P0–P3 convention so these items can be carried into that report's backlog directly if the team chooses to track them there instead of (or alongside) this document.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D9D9D9"/>
          </w:tcPr>
          <w:p>
            <w:r>
              <w:rPr>
                <w:b/>
                <w:sz w:val="19"/>
              </w:rPr>
              <w:t>ID</w:t>
            </w:r>
          </w:p>
        </w:tc>
        <w:tc>
          <w:tcPr>
            <w:tcW w:type="dxa" w:w="864"/>
            <w:shd w:val="clear" w:color="auto" w:fill="D9D9D9"/>
          </w:tcPr>
          <w:p>
            <w:r>
              <w:rPr>
                <w:b/>
                <w:sz w:val="19"/>
              </w:rPr>
              <w:t>Priority</w:t>
            </w:r>
          </w:p>
        </w:tc>
        <w:tc>
          <w:tcPr>
            <w:tcW w:type="dxa" w:w="4320"/>
            <w:shd w:val="clear" w:color="auto" w:fill="D9D9D9"/>
          </w:tcPr>
          <w:p>
            <w:r>
              <w:rPr>
                <w:b/>
                <w:sz w:val="19"/>
              </w:rPr>
              <w:t>Finding</w:t>
            </w:r>
          </w:p>
        </w:tc>
        <w:tc>
          <w:tcPr>
            <w:tcW w:type="dxa" w:w="2304"/>
            <w:shd w:val="clear" w:color="auto" w:fill="D9D9D9"/>
          </w:tcPr>
          <w:p>
            <w:r>
              <w:rPr>
                <w:b/>
                <w:sz w:val="19"/>
              </w:rPr>
              <w:t>Location</w:t>
            </w:r>
          </w:p>
        </w:tc>
        <w:tc>
          <w:tcPr>
            <w:tcW w:type="dxa" w:w="864"/>
            <w:shd w:val="clear" w:color="auto" w:fill="D9D9D9"/>
          </w:tcPr>
          <w:p>
            <w:r>
              <w:rPr>
                <w:b/>
                <w:sz w:val="19"/>
              </w:rPr>
              <w:t>Detail</w:t>
            </w:r>
          </w:p>
        </w:tc>
      </w:tr>
      <w:tr>
        <w:tc>
          <w:tcPr>
            <w:tcW w:type="dxa" w:w="720"/>
          </w:tcPr>
          <w:p>
            <w:r>
              <w:rPr>
                <w:sz w:val="19"/>
              </w:rPr>
              <w:t>F-1</w:t>
            </w:r>
          </w:p>
        </w:tc>
        <w:tc>
          <w:tcPr>
            <w:tcW w:type="dxa" w:w="864"/>
          </w:tcPr>
          <w:p>
            <w:r>
              <w:rPr>
                <w:b/>
                <w:color w:val="C00000"/>
                <w:sz w:val="19"/>
              </w:rPr>
              <w:t>P0</w:t>
            </w:r>
          </w:p>
        </w:tc>
        <w:tc>
          <w:tcPr>
            <w:tcW w:type="dxa" w:w="4320"/>
          </w:tcPr>
          <w:p>
            <w:r>
              <w:rPr>
                <w:sz w:val="19"/>
              </w:rPr>
              <w:t>Shared service-account plaintext credentials shipped to every client</w:t>
            </w:r>
          </w:p>
        </w:tc>
        <w:tc>
          <w:tcPr>
            <w:tcW w:type="dxa" w:w="2304"/>
          </w:tcPr>
          <w:p>
            <w:r>
              <w:rPr>
                <w:sz w:val="19"/>
              </w:rPr>
              <w:t>src/config.js:14-24</w:t>
            </w:r>
          </w:p>
        </w:tc>
        <w:tc>
          <w:tcPr>
            <w:tcW w:type="dxa" w:w="864"/>
          </w:tcPr>
          <w:p>
            <w:r>
              <w:rPr>
                <w:sz w:val="19"/>
              </w:rPr>
              <w:t>§4.1</w:t>
            </w:r>
          </w:p>
        </w:tc>
      </w:tr>
      <w:tr>
        <w:tc>
          <w:tcPr>
            <w:tcW w:type="dxa" w:w="720"/>
          </w:tcPr>
          <w:p>
            <w:r>
              <w:rPr>
                <w:sz w:val="19"/>
              </w:rPr>
              <w:t>F-2</w:t>
            </w:r>
          </w:p>
        </w:tc>
        <w:tc>
          <w:tcPr>
            <w:tcW w:type="dxa" w:w="864"/>
          </w:tcPr>
          <w:p>
            <w:r>
              <w:rPr>
                <w:b/>
                <w:color w:val="E36C09"/>
                <w:sz w:val="19"/>
              </w:rPr>
              <w:t>P1</w:t>
            </w:r>
          </w:p>
        </w:tc>
        <w:tc>
          <w:tcPr>
            <w:tcW w:type="dxa" w:w="4320"/>
          </w:tcPr>
          <w:p>
            <w:r>
              <w:rPr>
                <w:sz w:val="19"/>
              </w:rPr>
              <w:t>OTP/MFA disabled via a temporary code path; UAT-01 pass criteria now stale</w:t>
            </w:r>
          </w:p>
        </w:tc>
        <w:tc>
          <w:tcPr>
            <w:tcW w:type="dxa" w:w="2304"/>
          </w:tcPr>
          <w:p>
            <w:r>
              <w:rPr>
                <w:sz w:val="19"/>
              </w:rPr>
              <w:t>src/js/login.js:112-133</w:t>
            </w:r>
          </w:p>
        </w:tc>
        <w:tc>
          <w:tcPr>
            <w:tcW w:type="dxa" w:w="864"/>
          </w:tcPr>
          <w:p>
            <w:r>
              <w:rPr>
                <w:sz w:val="19"/>
              </w:rPr>
              <w:t>§4.2</w:t>
            </w:r>
          </w:p>
        </w:tc>
      </w:tr>
      <w:tr>
        <w:tc>
          <w:tcPr>
            <w:tcW w:type="dxa" w:w="720"/>
          </w:tcPr>
          <w:p>
            <w:r>
              <w:rPr>
                <w:sz w:val="19"/>
              </w:rPr>
              <w:t>F-3</w:t>
            </w:r>
          </w:p>
        </w:tc>
        <w:tc>
          <w:tcPr>
            <w:tcW w:type="dxa" w:w="864"/>
          </w:tcPr>
          <w:p>
            <w:r>
              <w:rPr>
                <w:b/>
                <w:color w:val="E36C09"/>
                <w:sz w:val="19"/>
              </w:rPr>
              <w:t>P1</w:t>
            </w:r>
          </w:p>
        </w:tc>
        <w:tc>
          <w:tcPr>
            <w:tcW w:type="dxa" w:w="4320"/>
          </w:tcPr>
          <w:p>
            <w:r>
              <w:rPr>
                <w:sz w:val="19"/>
              </w:rPr>
              <w:t>Route guard is client-side-only (localStorage check)</w:t>
            </w:r>
          </w:p>
        </w:tc>
        <w:tc>
          <w:tcPr>
            <w:tcW w:type="dxa" w:w="2304"/>
          </w:tcPr>
          <w:p>
            <w:r>
              <w:rPr>
                <w:sz w:val="19"/>
              </w:rPr>
              <w:t>src/js/authGuard.js</w:t>
            </w:r>
          </w:p>
        </w:tc>
        <w:tc>
          <w:tcPr>
            <w:tcW w:type="dxa" w:w="864"/>
          </w:tcPr>
          <w:p>
            <w:r>
              <w:rPr>
                <w:sz w:val="19"/>
              </w:rPr>
              <w:t>§4.3</w:t>
            </w:r>
          </w:p>
        </w:tc>
      </w:tr>
      <w:tr>
        <w:tc>
          <w:tcPr>
            <w:tcW w:type="dxa" w:w="720"/>
          </w:tcPr>
          <w:p>
            <w:r>
              <w:rPr>
                <w:sz w:val="19"/>
              </w:rPr>
              <w:t>F-4</w:t>
            </w:r>
          </w:p>
        </w:tc>
        <w:tc>
          <w:tcPr>
            <w:tcW w:type="dxa" w:w="864"/>
          </w:tcPr>
          <w:p>
            <w:r>
              <w:rPr>
                <w:b/>
                <w:color w:val="E36C09"/>
                <w:sz w:val="19"/>
              </w:rPr>
              <w:t>P1</w:t>
            </w:r>
          </w:p>
        </w:tc>
        <w:tc>
          <w:tcPr>
            <w:tcW w:type="dxa" w:w="4320"/>
          </w:tcPr>
          <w:p>
            <w:r>
              <w:rPr>
                <w:sz w:val="19"/>
              </w:rPr>
              <w:t>Entire build-time process.env injected into the public bundle</w:t>
            </w:r>
          </w:p>
        </w:tc>
        <w:tc>
          <w:tcPr>
            <w:tcW w:type="dxa" w:w="2304"/>
          </w:tcPr>
          <w:p>
            <w:r>
              <w:rPr>
                <w:sz w:val="19"/>
              </w:rPr>
              <w:t>webpack.config.js:30-32</w:t>
            </w:r>
          </w:p>
        </w:tc>
        <w:tc>
          <w:tcPr>
            <w:tcW w:type="dxa" w:w="864"/>
          </w:tcPr>
          <w:p>
            <w:r>
              <w:rPr>
                <w:sz w:val="19"/>
              </w:rPr>
              <w:t>§5.1</w:t>
            </w:r>
          </w:p>
        </w:tc>
      </w:tr>
      <w:tr>
        <w:tc>
          <w:tcPr>
            <w:tcW w:type="dxa" w:w="720"/>
          </w:tcPr>
          <w:p>
            <w:r>
              <w:rPr>
                <w:sz w:val="19"/>
              </w:rPr>
              <w:t>F-5</w:t>
            </w:r>
          </w:p>
        </w:tc>
        <w:tc>
          <w:tcPr>
            <w:tcW w:type="dxa" w:w="864"/>
          </w:tcPr>
          <w:p>
            <w:r>
              <w:rPr>
                <w:b/>
                <w:color w:val="E36C09"/>
                <w:sz w:val="19"/>
              </w:rPr>
              <w:t>P1</w:t>
            </w:r>
          </w:p>
        </w:tc>
        <w:tc>
          <w:tcPr>
            <w:tcW w:type="dxa" w:w="4320"/>
          </w:tcPr>
          <w:p>
            <w:r>
              <w:rPr>
                <w:sz w:val="19"/>
              </w:rPr>
              <w:t>Identity data (username/email/admin flag) passed base64 in a URL</w:t>
            </w:r>
          </w:p>
        </w:tc>
        <w:tc>
          <w:tcPr>
            <w:tcW w:type="dxa" w:w="2304"/>
          </w:tcPr>
          <w:p>
            <w:r>
              <w:rPr>
                <w:sz w:val="19"/>
              </w:rPr>
              <w:t>src/js/caseManagement.js:1675-1682</w:t>
            </w:r>
          </w:p>
        </w:tc>
        <w:tc>
          <w:tcPr>
            <w:tcW w:type="dxa" w:w="864"/>
          </w:tcPr>
          <w:p>
            <w:r>
              <w:rPr>
                <w:sz w:val="19"/>
              </w:rPr>
              <w:t>§5.2</w:t>
            </w:r>
          </w:p>
        </w:tc>
      </w:tr>
      <w:tr>
        <w:tc>
          <w:tcPr>
            <w:tcW w:type="dxa" w:w="720"/>
          </w:tcPr>
          <w:p>
            <w:r>
              <w:rPr>
                <w:sz w:val="19"/>
              </w:rPr>
              <w:t>F-6</w:t>
            </w:r>
          </w:p>
        </w:tc>
        <w:tc>
          <w:tcPr>
            <w:tcW w:type="dxa" w:w="864"/>
          </w:tcPr>
          <w:p>
            <w:r>
              <w:rPr>
                <w:b/>
                <w:color w:val="E36C09"/>
                <w:sz w:val="19"/>
              </w:rPr>
              <w:t>P1</w:t>
            </w:r>
          </w:p>
        </w:tc>
        <w:tc>
          <w:tcPr>
            <w:tcW w:type="dxa" w:w="4320"/>
          </w:tcPr>
          <w:p>
            <w:r>
              <w:rPr>
                <w:sz w:val="19"/>
              </w:rPr>
              <w:t>No HTTP security headers (CSP/X-Frame-Options/etc.)</w:t>
            </w:r>
          </w:p>
        </w:tc>
        <w:tc>
          <w:tcPr>
            <w:tcW w:type="dxa" w:w="2304"/>
          </w:tcPr>
          <w:p>
            <w:r>
              <w:rPr>
                <w:sz w:val="19"/>
              </w:rPr>
              <w:t>nginx.conf</w:t>
            </w:r>
          </w:p>
        </w:tc>
        <w:tc>
          <w:tcPr>
            <w:tcW w:type="dxa" w:w="864"/>
          </w:tcPr>
          <w:p>
            <w:r>
              <w:rPr>
                <w:sz w:val="19"/>
              </w:rPr>
              <w:t>§8.1</w:t>
            </w:r>
          </w:p>
        </w:tc>
      </w:tr>
      <w:tr>
        <w:tc>
          <w:tcPr>
            <w:tcW w:type="dxa" w:w="720"/>
          </w:tcPr>
          <w:p>
            <w:r>
              <w:rPr>
                <w:sz w:val="19"/>
              </w:rPr>
              <w:t>F-7</w:t>
            </w:r>
          </w:p>
        </w:tc>
        <w:tc>
          <w:tcPr>
            <w:tcW w:type="dxa" w:w="864"/>
          </w:tcPr>
          <w:p>
            <w:r>
              <w:rPr>
                <w:b/>
                <w:color w:val="E36C09"/>
                <w:sz w:val="19"/>
              </w:rPr>
              <w:t>P1</w:t>
            </w:r>
          </w:p>
        </w:tc>
        <w:tc>
          <w:tcPr>
            <w:tcW w:type="dxa" w:w="4320"/>
          </w:tcPr>
          <w:p>
            <w:r>
              <w:rPr>
                <w:sz w:val="19"/>
              </w:rPr>
              <w:t>Jenkins/EC2 deploy path has no test gate, no manifest, runs under sudo</w:t>
            </w:r>
          </w:p>
        </w:tc>
        <w:tc>
          <w:tcPr>
            <w:tcW w:type="dxa" w:w="2304"/>
          </w:tcPr>
          <w:p>
            <w:r>
              <w:rPr>
                <w:sz w:val="19"/>
              </w:rPr>
              <w:t>Jenkinsfile</w:t>
            </w:r>
          </w:p>
        </w:tc>
        <w:tc>
          <w:tcPr>
            <w:tcW w:type="dxa" w:w="864"/>
          </w:tcPr>
          <w:p>
            <w:r>
              <w:rPr>
                <w:sz w:val="19"/>
              </w:rPr>
              <w:t>§8.2</w:t>
            </w:r>
          </w:p>
        </w:tc>
      </w:tr>
      <w:tr>
        <w:tc>
          <w:tcPr>
            <w:tcW w:type="dxa" w:w="720"/>
          </w:tcPr>
          <w:p>
            <w:r>
              <w:rPr>
                <w:sz w:val="19"/>
              </w:rPr>
              <w:t>F-8</w:t>
            </w:r>
          </w:p>
        </w:tc>
        <w:tc>
          <w:tcPr>
            <w:tcW w:type="dxa" w:w="864"/>
          </w:tcPr>
          <w:p>
            <w:r>
              <w:rPr>
                <w:b/>
                <w:color w:val="BF9000"/>
                <w:sz w:val="19"/>
              </w:rPr>
              <w:t>P2</w:t>
            </w:r>
          </w:p>
        </w:tc>
        <w:tc>
          <w:tcPr>
            <w:tcW w:type="dxa" w:w="4320"/>
          </w:tcPr>
          <w:p>
            <w:r>
              <w:rPr>
                <w:sz w:val="19"/>
              </w:rPr>
              <w:t>Built bundle (dist/bundle.js) committed to git, compounding F-4/F-1</w:t>
            </w:r>
          </w:p>
        </w:tc>
        <w:tc>
          <w:tcPr>
            <w:tcW w:type="dxa" w:w="2304"/>
          </w:tcPr>
          <w:p>
            <w:r>
              <w:rPr>
                <w:sz w:val="19"/>
              </w:rPr>
              <w:t>dist/bundle.js</w:t>
            </w:r>
          </w:p>
        </w:tc>
        <w:tc>
          <w:tcPr>
            <w:tcW w:type="dxa" w:w="864"/>
          </w:tcPr>
          <w:p>
            <w:r>
              <w:rPr>
                <w:sz w:val="19"/>
              </w:rPr>
              <w:t>§5.3</w:t>
            </w:r>
          </w:p>
        </w:tc>
      </w:tr>
      <w:tr>
        <w:tc>
          <w:tcPr>
            <w:tcW w:type="dxa" w:w="720"/>
          </w:tcPr>
          <w:p>
            <w:r>
              <w:rPr>
                <w:sz w:val="19"/>
              </w:rPr>
              <w:t>F-9</w:t>
            </w:r>
          </w:p>
        </w:tc>
        <w:tc>
          <w:tcPr>
            <w:tcW w:type="dxa" w:w="864"/>
          </w:tcPr>
          <w:p>
            <w:r>
              <w:rPr>
                <w:b/>
                <w:color w:val="BF9000"/>
                <w:sz w:val="19"/>
              </w:rPr>
              <w:t>P2</w:t>
            </w:r>
          </w:p>
        </w:tc>
        <w:tc>
          <w:tcPr>
            <w:tcW w:type="dxa" w:w="4320"/>
          </w:tcPr>
          <w:p>
            <w:r>
              <w:rPr>
                <w:sz w:val="19"/>
              </w:rPr>
              <w:t>Tracked empty cookie-jar file (now legacy/cookies.json) — hygiene risk</w:t>
            </w:r>
          </w:p>
        </w:tc>
        <w:tc>
          <w:tcPr>
            <w:tcW w:type="dxa" w:w="2304"/>
          </w:tcPr>
          <w:p>
            <w:r>
              <w:rPr>
                <w:sz w:val="19"/>
              </w:rPr>
              <w:t>legacy/cookies.json</w:t>
            </w:r>
          </w:p>
        </w:tc>
        <w:tc>
          <w:tcPr>
            <w:tcW w:type="dxa" w:w="864"/>
          </w:tcPr>
          <w:p>
            <w:r>
              <w:rPr>
                <w:sz w:val="19"/>
              </w:rPr>
              <w:t>§5.3</w:t>
            </w:r>
          </w:p>
        </w:tc>
      </w:tr>
      <w:tr>
        <w:tc>
          <w:tcPr>
            <w:tcW w:type="dxa" w:w="720"/>
          </w:tcPr>
          <w:p>
            <w:r>
              <w:rPr>
                <w:sz w:val="19"/>
              </w:rPr>
              <w:t>F-10</w:t>
            </w:r>
          </w:p>
        </w:tc>
        <w:tc>
          <w:tcPr>
            <w:tcW w:type="dxa" w:w="864"/>
          </w:tcPr>
          <w:p>
            <w:r>
              <w:rPr>
                <w:b/>
                <w:color w:val="BF9000"/>
                <w:sz w:val="19"/>
              </w:rPr>
              <w:t>P2</w:t>
            </w:r>
          </w:p>
        </w:tc>
        <w:tc>
          <w:tcPr>
            <w:tcW w:type="dxa" w:w="4320"/>
          </w:tcPr>
          <w:p>
            <w:r>
              <w:rPr>
                <w:sz w:val="19"/>
              </w:rPr>
              <w:t>29 known dependency vulnerabilities (dev-only today)</w:t>
            </w:r>
          </w:p>
        </w:tc>
        <w:tc>
          <w:tcPr>
            <w:tcW w:type="dxa" w:w="2304"/>
          </w:tcPr>
          <w:p>
            <w:r>
              <w:rPr>
                <w:sz w:val="19"/>
              </w:rPr>
              <w:t>package-lock.json</w:t>
            </w:r>
          </w:p>
        </w:tc>
        <w:tc>
          <w:tcPr>
            <w:tcW w:type="dxa" w:w="864"/>
          </w:tcPr>
          <w:p>
            <w:r>
              <w:rPr>
                <w:sz w:val="19"/>
              </w:rPr>
              <w:t>§9</w:t>
            </w:r>
          </w:p>
        </w:tc>
      </w:tr>
      <w:tr>
        <w:tc>
          <w:tcPr>
            <w:tcW w:type="dxa" w:w="720"/>
          </w:tcPr>
          <w:p>
            <w:r>
              <w:rPr>
                <w:sz w:val="19"/>
              </w:rPr>
              <w:t>F-11</w:t>
            </w:r>
          </w:p>
        </w:tc>
        <w:tc>
          <w:tcPr>
            <w:tcW w:type="dxa" w:w="864"/>
          </w:tcPr>
          <w:p>
            <w:r>
              <w:rPr>
                <w:b/>
                <w:color w:val="BF9000"/>
                <w:sz w:val="19"/>
              </w:rPr>
              <w:t>P2</w:t>
            </w:r>
          </w:p>
        </w:tc>
        <w:tc>
          <w:tcPr>
            <w:tcW w:type="dxa" w:w="4320"/>
          </w:tcPr>
          <w:p>
            <w:r>
              <w:rPr>
                <w:sz w:val="19"/>
              </w:rPr>
              <w:t>crypt.js naming/comments invite future misuse beyond its safe cosmetic scope</w:t>
            </w:r>
          </w:p>
        </w:tc>
        <w:tc>
          <w:tcPr>
            <w:tcW w:type="dxa" w:w="2304"/>
          </w:tcPr>
          <w:p>
            <w:r>
              <w:rPr>
                <w:sz w:val="19"/>
              </w:rPr>
              <w:t>src/crypt.js</w:t>
            </w:r>
          </w:p>
        </w:tc>
        <w:tc>
          <w:tcPr>
            <w:tcW w:type="dxa" w:w="864"/>
          </w:tcPr>
          <w:p>
            <w:r>
              <w:rPr>
                <w:sz w:val="19"/>
              </w:rPr>
              <w:t>§6.1</w:t>
            </w:r>
          </w:p>
        </w:tc>
      </w:tr>
      <w:tr>
        <w:tc>
          <w:tcPr>
            <w:tcW w:type="dxa" w:w="720"/>
          </w:tcPr>
          <w:p>
            <w:r>
              <w:rPr>
                <w:sz w:val="19"/>
              </w:rPr>
              <w:t>F-12</w:t>
            </w:r>
          </w:p>
        </w:tc>
        <w:tc>
          <w:tcPr>
            <w:tcW w:type="dxa" w:w="864"/>
          </w:tcPr>
          <w:p>
            <w:r>
              <w:rPr>
                <w:b/>
                <w:color w:val="808080"/>
                <w:sz w:val="19"/>
              </w:rPr>
              <w:t>P3</w:t>
            </w:r>
          </w:p>
        </w:tc>
        <w:tc>
          <w:tcPr>
            <w:tcW w:type="dxa" w:w="4320"/>
          </w:tcPr>
          <w:p>
            <w:r>
              <w:rPr>
                <w:sz w:val="19"/>
              </w:rPr>
              <w:t>Production deploy target (EC2 vs. Docker vs. GitHub Pages) not unambiguously documented</w:t>
            </w:r>
          </w:p>
        </w:tc>
        <w:tc>
          <w:tcPr>
            <w:tcW w:type="dxa" w:w="2304"/>
          </w:tcPr>
          <w:p>
            <w:r>
              <w:rPr>
                <w:sz w:val="19"/>
              </w:rPr>
              <w:t>Maintenance and Operational Runbook.docx</w:t>
            </w:r>
          </w:p>
        </w:tc>
        <w:tc>
          <w:tcPr>
            <w:tcW w:type="dxa" w:w="864"/>
          </w:tcPr>
          <w:p>
            <w:r>
              <w:rPr>
                <w:sz w:val="19"/>
              </w:rPr>
              <w:t>§8.2</w:t>
            </w:r>
          </w:p>
        </w:tc>
      </w:tr>
      <w:tr>
        <w:tc>
          <w:tcPr>
            <w:tcW w:type="dxa" w:w="720"/>
          </w:tcPr>
          <w:p>
            <w:r>
              <w:rPr>
                <w:sz w:val="19"/>
              </w:rPr>
              <w:t>F-13</w:t>
            </w:r>
          </w:p>
        </w:tc>
        <w:tc>
          <w:tcPr>
            <w:tcW w:type="dxa" w:w="864"/>
          </w:tcPr>
          <w:p>
            <w:r>
              <w:rPr>
                <w:b/>
                <w:color w:val="808080"/>
                <w:sz w:val="19"/>
              </w:rPr>
              <w:t>P3</w:t>
            </w:r>
          </w:p>
        </w:tc>
        <w:tc>
          <w:tcPr>
            <w:tcW w:type="dxa" w:w="4320"/>
          </w:tcPr>
          <w:p>
            <w:r>
              <w:rPr>
                <w:sz w:val="19"/>
              </w:rPr>
              <w:t>No confirmed data-classification / regulatory regime for clinical case data</w:t>
            </w:r>
          </w:p>
        </w:tc>
        <w:tc>
          <w:tcPr>
            <w:tcW w:type="dxa" w:w="2304"/>
          </w:tcPr>
          <w:p>
            <w:r>
              <w:rPr>
                <w:sz w:val="19"/>
              </w:rPr>
              <w:t>—</w:t>
            </w:r>
          </w:p>
        </w:tc>
        <w:tc>
          <w:tcPr>
            <w:tcW w:type="dxa" w:w="864"/>
          </w:tcPr>
          <w:p>
            <w:r>
              <w:rPr>
                <w:sz w:val="19"/>
              </w:rPr>
              <w:t>§3</w:t>
            </w:r>
          </w:p>
        </w:tc>
      </w:tr>
    </w:tbl>
    <w:p>
      <w:pPr>
        <w:spacing w:after="80"/>
      </w:pPr>
    </w:p>
    <w:p>
      <w:pPr>
        <w:pStyle w:val="Heading1"/>
      </w:pPr>
      <w:r>
        <w:t>11. Roles and Responsibilities</w:t>
      </w:r>
    </w:p>
    <w:tbl>
      <w:tblPr>
        <w:tblStyle w:val="TableGrid"/>
        <w:tblW w:type="auto" w:w="0"/>
        <w:tblLook w:firstColumn="1" w:firstRow="1" w:lastColumn="0" w:lastRow="0" w:noHBand="0" w:noVBand="1" w:val="04A0"/>
      </w:tblPr>
      <w:tblGrid>
        <w:gridCol w:w="4320"/>
        <w:gridCol w:w="4320"/>
      </w:tblGrid>
      <w:tr>
        <w:tc>
          <w:tcPr>
            <w:tcW w:type="dxa" w:w="2304"/>
            <w:shd w:val="clear" w:color="auto" w:fill="D9D9D9"/>
          </w:tcPr>
          <w:p>
            <w:r>
              <w:rPr>
                <w:b/>
                <w:sz w:val="19"/>
              </w:rPr>
              <w:t>Role</w:t>
            </w:r>
          </w:p>
        </w:tc>
        <w:tc>
          <w:tcPr>
            <w:tcW w:type="dxa" w:w="7056"/>
            <w:shd w:val="clear" w:color="auto" w:fill="D9D9D9"/>
          </w:tcPr>
          <w:p>
            <w:r>
              <w:rPr>
                <w:b/>
                <w:sz w:val="19"/>
              </w:rPr>
              <w:t>Responsibility</w:t>
            </w:r>
          </w:p>
        </w:tc>
      </w:tr>
      <w:tr>
        <w:tc>
          <w:tcPr>
            <w:tcW w:type="dxa" w:w="2304"/>
          </w:tcPr>
          <w:p>
            <w:r>
              <w:rPr>
                <w:sz w:val="19"/>
              </w:rPr>
              <w:t>Developer(s)</w:t>
            </w:r>
          </w:p>
        </w:tc>
        <w:tc>
          <w:tcPr>
            <w:tcW w:type="dxa" w:w="7056"/>
          </w:tcPr>
          <w:p>
            <w:r>
              <w:rPr>
                <w:sz w:val="19"/>
              </w:rPr>
              <w:t>Implement the protocol items assigned to them; never reintroduce a plaintext credential, unscoped env injection, or client-embedded identity token once removed; run npm audit before release per §9.</w:t>
            </w:r>
          </w:p>
        </w:tc>
      </w:tr>
      <w:tr>
        <w:tc>
          <w:tcPr>
            <w:tcW w:type="dxa" w:w="2304"/>
          </w:tcPr>
          <w:p>
            <w:r>
              <w:rPr>
                <w:sz w:val="19"/>
              </w:rPr>
              <w:t>Test Coordinator</w:t>
            </w:r>
          </w:p>
        </w:tc>
        <w:tc>
          <w:tcPr>
            <w:tcW w:type="dxa" w:w="7056"/>
          </w:tcPr>
          <w:p>
            <w:r>
              <w:rPr>
                <w:sz w:val="19"/>
              </w:rPr>
              <w:t>Fold P0/P1 findings from §10 into the Feedback &amp; Triage Report as tracked Task IDs where appropriate; ensure UAT-01 is re-verified against actual current OTP behavior (§4.2) before the next UAT round is signed off.</w:t>
            </w:r>
          </w:p>
        </w:tc>
      </w:tr>
      <w:tr>
        <w:tc>
          <w:tcPr>
            <w:tcW w:type="dxa" w:w="2304"/>
          </w:tcPr>
          <w:p>
            <w:r>
              <w:rPr>
                <w:sz w:val="19"/>
              </w:rPr>
              <w:t>DevOps / Deployment Owner</w:t>
            </w:r>
          </w:p>
        </w:tc>
        <w:tc>
          <w:tcPr>
            <w:tcW w:type="dxa" w:w="7056"/>
          </w:tcPr>
          <w:p>
            <w:r>
              <w:rPr>
                <w:sz w:val="19"/>
              </w:rPr>
              <w:t>Bring the Jenkins/EC2 pipeline to parity with the GitHub Actions gate (§8.2); own the nginx security-header rollout (§8.1); confirm which deployment target is authoritative for production.</w:t>
            </w:r>
          </w:p>
        </w:tc>
      </w:tr>
      <w:tr>
        <w:tc>
          <w:tcPr>
            <w:tcW w:type="dxa" w:w="2304"/>
          </w:tcPr>
          <w:p>
            <w:r>
              <w:rPr>
                <w:sz w:val="19"/>
              </w:rPr>
              <w:t>Approving Authority</w:t>
            </w:r>
          </w:p>
        </w:tc>
        <w:tc>
          <w:tcPr>
            <w:tcW w:type="dxa" w:w="7056"/>
          </w:tcPr>
          <w:p>
            <w:r>
              <w:rPr>
                <w:sz w:val="19"/>
              </w:rPr>
              <w:t>Reviews and signs off this document before it is treated as the governing protocol; risk-accepts in writing any P0/P1 item the team chooses to defer, per the same discipline UAT_Protocol_SOP.docx §8 already applies to UAT defects.</w:t>
            </w:r>
          </w:p>
        </w:tc>
      </w:tr>
    </w:tbl>
    <w:p>
      <w:pPr>
        <w:spacing w:after="80"/>
      </w:pPr>
    </w:p>
    <w:p>
      <w:pPr>
        <w:pStyle w:val="Heading1"/>
      </w:pPr>
      <w:r>
        <w:t>12. Remediation Roadmap</w:t>
      </w:r>
    </w:p>
    <w:p>
      <w:r>
        <w:t>Suggested sequencing, not a committed schedule — dates to be filled in once owners are assigned.</w:t>
      </w:r>
    </w:p>
    <w:p>
      <w:pPr>
        <w:pStyle w:val="ListNumber"/>
      </w:pPr>
      <w:r>
        <w:t>Immediate: rotate the credential in src/config.js (F-1) regardless of the longer-term server-side-auth fix, since the current value is already exposed in git history and cannot be un-published; cookies.json has been moved to legacy/cookies.json — still remove it from tracking entirely and add it to .gitignore (F-9).</w:t>
      </w:r>
    </w:p>
    <w:p>
      <w:pPr>
        <w:pStyle w:val="ListNumber"/>
      </w:pPr>
      <w:r>
        <w:t>Near-term: scope webpack's DefinePlugin to an explicit variable allow-list (F-4); replace the auto_user URL token with a server-issued short-lived token (F-5); add baseline HTTP security headers to nginx.conf (F-6); re-verify and document the current OTP state against UAT-01 (F-2).</w:t>
      </w:r>
    </w:p>
    <w:p>
      <w:pPr>
        <w:pStyle w:val="ListNumber"/>
      </w:pPr>
      <w:r>
        <w:t>Near-term: bring the Jenkins/EC2 pipeline to test-gate + manifest parity with the GitHub Actions workflow (F-7).</w:t>
      </w:r>
    </w:p>
    <w:p>
      <w:pPr>
        <w:pStyle w:val="ListNumber"/>
      </w:pPr>
      <w:r>
        <w:t>Medium-term: design and implement server-side session issuance to replace the shared-credential model entirely (F-1, F-3); this is the structural fix the other near-term items work around, not a replacement for them.</w:t>
      </w:r>
    </w:p>
    <w:p>
      <w:pPr>
        <w:pStyle w:val="ListNumber"/>
      </w:pPr>
      <w:r>
        <w:t>Ongoing: npm audit as a release-checklist item (F-10); periodic review of this document alongside every security-relevant change, per the trigger already defined in Maintenance and Operational Runbook.docx § Documentation Maintenance Policy.</w:t>
      </w:r>
    </w:p>
    <w:p>
      <w:pPr>
        <w:pStyle w:val="Heading1"/>
      </w:pPr>
      <w:r>
        <w:t>13. Document Control</w:t>
      </w:r>
    </w:p>
    <w:tbl>
      <w:tblPr>
        <w:tblStyle w:val="TableGrid"/>
        <w:tblW w:type="auto" w:w="0"/>
        <w:tblLook w:firstColumn="1" w:firstRow="1" w:lastColumn="0" w:lastRow="0" w:noHBand="0" w:noVBand="1" w:val="04A0"/>
      </w:tblPr>
      <w:tblGrid>
        <w:gridCol w:w="4320"/>
        <w:gridCol w:w="4320"/>
      </w:tblGrid>
      <w:tr>
        <w:tc>
          <w:tcPr>
            <w:tcW w:type="dxa" w:w="2448"/>
            <w:shd w:val="clear" w:color="auto" w:fill="D9D9D9"/>
          </w:tcPr>
          <w:p>
            <w:r>
              <w:rPr>
                <w:b/>
                <w:sz w:val="19"/>
              </w:rPr>
              <w:t>Field</w:t>
            </w:r>
          </w:p>
        </w:tc>
        <w:tc>
          <w:tcPr>
            <w:tcW w:type="dxa" w:w="6912"/>
            <w:shd w:val="clear" w:color="auto" w:fill="D9D9D9"/>
          </w:tcPr>
          <w:p>
            <w:r>
              <w:rPr>
                <w:b/>
                <w:sz w:val="19"/>
              </w:rPr>
              <w:t>Value</w:t>
            </w:r>
          </w:p>
        </w:tc>
      </w:tr>
      <w:tr>
        <w:tc>
          <w:tcPr>
            <w:tcW w:type="dxa" w:w="2448"/>
          </w:tcPr>
          <w:p>
            <w:r>
              <w:rPr>
                <w:sz w:val="19"/>
              </w:rPr>
              <w:t>Document Type</w:t>
            </w:r>
          </w:p>
        </w:tc>
        <w:tc>
          <w:tcPr>
            <w:tcW w:type="dxa" w:w="6912"/>
          </w:tcPr>
          <w:p>
            <w:r>
              <w:rPr>
                <w:sz w:val="19"/>
              </w:rPr>
              <w:t>Cybersecurity Protocol Document (first draft)</w:t>
            </w:r>
          </w:p>
        </w:tc>
      </w:tr>
      <w:tr>
        <w:tc>
          <w:tcPr>
            <w:tcW w:type="dxa" w:w="2448"/>
          </w:tcPr>
          <w:p>
            <w:r>
              <w:rPr>
                <w:sz w:val="19"/>
              </w:rPr>
              <w:t>Application</w:t>
            </w:r>
          </w:p>
        </w:tc>
        <w:tc>
          <w:tcPr>
            <w:tcW w:type="dxa" w:w="6912"/>
          </w:tcPr>
          <w:p>
            <w:r>
              <w:rPr>
                <w:sz w:val="19"/>
              </w:rPr>
              <w:t>SmartRPD Web Application</w:t>
            </w:r>
          </w:p>
        </w:tc>
      </w:tr>
      <w:tr>
        <w:tc>
          <w:tcPr>
            <w:tcW w:type="dxa" w:w="2448"/>
          </w:tcPr>
          <w:p>
            <w:r>
              <w:rPr>
                <w:sz w:val="19"/>
              </w:rPr>
              <w:t>Environment Reviewed</w:t>
            </w:r>
          </w:p>
        </w:tc>
        <w:tc>
          <w:tcPr>
            <w:tcW w:type="dxa" w:w="6912"/>
          </w:tcPr>
          <w:p>
            <w:r>
              <w:rPr>
                <w:sz w:val="19"/>
              </w:rPr>
              <w:t>shafik_nyunt_2_integration @ 7e35380 (frontend repository only — see §1 Scope)</w:t>
            </w:r>
          </w:p>
        </w:tc>
      </w:tr>
      <w:tr>
        <w:tc>
          <w:tcPr>
            <w:tcW w:type="dxa" w:w="2448"/>
          </w:tcPr>
          <w:p>
            <w:r>
              <w:rPr>
                <w:sz w:val="19"/>
              </w:rPr>
              <w:t>Last Updated</w:t>
            </w:r>
          </w:p>
        </w:tc>
        <w:tc>
          <w:tcPr>
            <w:tcW w:type="dxa" w:w="6912"/>
          </w:tcPr>
          <w:p>
            <w:r>
              <w:rPr>
                <w:sz w:val="19"/>
              </w:rPr>
              <w:t>23 July 2026</w:t>
            </w:r>
          </w:p>
        </w:tc>
      </w:tr>
      <w:tr>
        <w:tc>
          <w:tcPr>
            <w:tcW w:type="dxa" w:w="2448"/>
          </w:tcPr>
          <w:p>
            <w:r>
              <w:rPr>
                <w:sz w:val="19"/>
              </w:rPr>
              <w:t>Prepared By</w:t>
            </w:r>
          </w:p>
        </w:tc>
        <w:tc>
          <w:tcPr>
            <w:tcW w:type="dxa" w:w="6912"/>
          </w:tcPr>
          <w:p>
            <w:r>
              <w:rPr>
                <w:sz w:val="19"/>
              </w:rPr>
              <w:t>Shafik Hakim Bin Abdul Wahid (AI-assisted draft from direct code/config review)</w:t>
            </w:r>
          </w:p>
        </w:tc>
      </w:tr>
      <w:tr>
        <w:tc>
          <w:tcPr>
            <w:tcW w:type="dxa" w:w="2448"/>
          </w:tcPr>
          <w:p>
            <w:r>
              <w:rPr>
                <w:sz w:val="19"/>
              </w:rPr>
              <w:t>Related Documents</w:t>
            </w:r>
          </w:p>
        </w:tc>
        <w:tc>
          <w:tcPr>
            <w:tcW w:type="dxa" w:w="6912"/>
          </w:tcPr>
          <w:p>
            <w:r>
              <w:rPr>
                <w:sz w:val="19"/>
              </w:rPr>
              <w:t>Maintenance and Operational Runbook.docx, DevOps and Deployment.docx, UAT_Protocol_SOP.docx, UAT_Report.docx, Traceability_Document.docx, Feedback_Triage_Report.docx</w:t>
            </w:r>
          </w:p>
        </w:tc>
      </w:tr>
      <w:tr>
        <w:tc>
          <w:tcPr>
            <w:tcW w:type="dxa" w:w="2448"/>
          </w:tcPr>
          <w:p>
            <w:r>
              <w:rPr>
                <w:sz w:val="19"/>
              </w:rPr>
              <w:t>Status</w:t>
            </w:r>
          </w:p>
        </w:tc>
        <w:tc>
          <w:tcPr>
            <w:tcW w:type="dxa" w:w="6912"/>
          </w:tcPr>
          <w:p>
            <w:r>
              <w:rPr>
                <w:sz w:val="19"/>
              </w:rPr>
              <w:t>Draft — not yet reviewed or signed off by an Approving Authority; treat findings as a starting checklist, not a completed audit</w:t>
            </w:r>
          </w:p>
        </w:tc>
      </w:tr>
    </w:tbl>
    <w:p>
      <w:pPr>
        <w:spacing w:after="80"/>
      </w:pPr>
    </w:p>
    <w:p>
      <w:pPr>
        <w:pStyle w:val="Heading1"/>
      </w:pPr>
      <w:r>
        <w:t>14. 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val="clear" w:color="auto" w:fill="D9D9D9"/>
          </w:tcPr>
          <w:p>
            <w:r>
              <w:rPr>
                <w:b/>
                <w:sz w:val="19"/>
              </w:rPr>
              <w:t>Version</w:t>
            </w:r>
          </w:p>
        </w:tc>
        <w:tc>
          <w:tcPr>
            <w:tcW w:type="dxa" w:w="1440"/>
            <w:shd w:val="clear" w:color="auto" w:fill="D9D9D9"/>
          </w:tcPr>
          <w:p>
            <w:r>
              <w:rPr>
                <w:b/>
                <w:sz w:val="19"/>
              </w:rPr>
              <w:t>Date</w:t>
            </w:r>
          </w:p>
        </w:tc>
        <w:tc>
          <w:tcPr>
            <w:tcW w:type="dxa" w:w="3456"/>
            <w:shd w:val="clear" w:color="auto" w:fill="D9D9D9"/>
          </w:tcPr>
          <w:p>
            <w:r>
              <w:rPr>
                <w:b/>
                <w:sz w:val="19"/>
              </w:rPr>
              <w:t>Author</w:t>
            </w:r>
          </w:p>
        </w:tc>
        <w:tc>
          <w:tcPr>
            <w:tcW w:type="dxa" w:w="3024"/>
            <w:shd w:val="clear" w:color="auto" w:fill="D9D9D9"/>
          </w:tcPr>
          <w:p>
            <w:r>
              <w:rPr>
                <w:b/>
                <w:sz w:val="19"/>
              </w:rPr>
              <w:t>Change</w:t>
            </w:r>
          </w:p>
        </w:tc>
      </w:tr>
      <w:tr>
        <w:tc>
          <w:tcPr>
            <w:tcW w:type="dxa" w:w="1440"/>
          </w:tcPr>
          <w:p>
            <w:r>
              <w:rPr>
                <w:sz w:val="19"/>
              </w:rPr>
              <w:t>0.1 (Draft)</w:t>
            </w:r>
          </w:p>
        </w:tc>
        <w:tc>
          <w:tcPr>
            <w:tcW w:type="dxa" w:w="1440"/>
          </w:tcPr>
          <w:p>
            <w:r>
              <w:rPr>
                <w:sz w:val="19"/>
              </w:rPr>
              <w:t>23 July 2026</w:t>
            </w:r>
          </w:p>
        </w:tc>
        <w:tc>
          <w:tcPr>
            <w:tcW w:type="dxa" w:w="3456"/>
          </w:tcPr>
          <w:p>
            <w:r>
              <w:rPr>
                <w:sz w:val="19"/>
              </w:rPr>
              <w:t>Shafik Hakim Bin Abdul Wahid (AI-assisted)</w:t>
            </w:r>
          </w:p>
        </w:tc>
        <w:tc>
          <w:tcPr>
            <w:tcW w:type="dxa" w:w="3024"/>
          </w:tcPr>
          <w:p>
            <w:r>
              <w:rPr>
                <w:sz w:val="19"/>
              </w:rPr>
              <w:t>Initial draft: posture summary, 13 findings from direct code review, remediation roadmap.</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