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40"/>
        </w:rPr>
        <w:t>SmartRPD Web Application</w:t>
      </w:r>
    </w:p>
    <w:p>
      <w:pPr>
        <w:spacing w:after="40"/>
      </w:pPr>
      <w:r>
        <w:rPr>
          <w:b/>
          <w:sz w:val="32"/>
        </w:rPr>
        <w:t>User Acceptance Testing (UAT) Report</w:t>
      </w:r>
    </w:p>
    <w:p>
      <w:pPr>
        <w:spacing w:after="240"/>
      </w:pPr>
      <w:r>
        <w:rPr>
          <w:i/>
          <w:sz w:val="22"/>
        </w:rPr>
        <w:t>dev-deploy-shafik-2 — no new manual UAT round executed yet; see §2</w:t>
      </w:r>
    </w:p>
    <w:p>
      <w:r>
        <w:rPr>
          <w:i/>
          <w:color w:val="C00000"/>
        </w:rPr>
        <w:t>STATUS: No new manual UAT round has been executed against this branch. This document carries forward the last executed round (§3, run against nyunt/dev-deploy @ commit 69f1d26, 20 July 2026) as historical reference, and lays out what changed since then and what's needed before the next round can be signed off (§4). Do not read §3's Pass results as applying to this branch's current state — substantial feature work has landed since (§4).</w:t>
      </w:r>
    </w:p>
    <w:p>
      <w:pPr>
        <w:pStyle w:val="Heading1"/>
      </w:pPr>
      <w:r>
        <w:t>1. Purpose and Scope</w:t>
      </w:r>
    </w:p>
    <w:p>
      <w:r>
        <w:t>This report records UAT results for the SmartRPD Web Application and tracks what's needed for the next round. Pushes to nyunt/dev-deploy trigger the “Deploy Test Site” GitHub Actions workflow, which runs the automated test gate, builds a production bundle, and publishes the verified revision to nyunt/dev-W7.1 (GitHub Pages), live at https://faid123.github.io/.tmp-test-web/.</w:t>
      </w:r>
    </w:p>
    <w:p>
      <w:pPr>
        <w:pStyle w:val="Heading1"/>
      </w:pPr>
      <w:r>
        <w:t>2. Automated Test Gate (Current)</w:t>
      </w:r>
    </w:p>
    <w:p>
      <w:r>
        <w:t>Every push to nyunt/dev-deploy runs npm run test:ci as a fail-closed gate before the site can be published. Current recorded run on dev-deploy-shafik-2 @ d38ff71: 13/13 test suites, 198/198 tests, 0 failing (see Automated_Test_Suite_Report.docx and Documentations/AutoTest Results/). This is a stronger automated gate than the one in place for §3's round (11 suites / 105 tests) but automated coverage and manual UAT are not substitutes for each other -- see §4's coverage-gap list.</w:t>
      </w:r>
    </w:p>
    <w:p>
      <w:pPr>
        <w:pStyle w:val="Heading1"/>
      </w:pPr>
      <w:r>
        <w:t>3. Last Executed Round (Historical — Different Branch/Commit)</w:t>
      </w:r>
    </w:p>
    <w:p>
      <w:r>
        <w:t>Round conducted against nyunt/dev-deploy @ 69f1d26, published live on nyunt/dev-W7.1, dated 20 July 2026 (carried over from shafik_nyunt_2_integration). All 12 core workflows were exercised; 11 of 12 passed cleanly and 1 (UAT-08) was a partial pass pending TSK-007. Full detail preserved below for reference; none of it should be assumed to still hold against this branch's current code without re-testing.</w:t>
      </w:r>
    </w:p>
    <w:tbl>
      <w:tblPr>
        <w:tblStyle w:val="TableGrid"/>
        <w:tblW w:type="auto" w:w="0"/>
        <w:tblLook w:firstColumn="1" w:firstRow="1" w:lastColumn="0" w:lastRow="0" w:noHBand="0" w:noVBand="1" w:val="04A0"/>
      </w:tblPr>
      <w:tblGrid>
        <w:gridCol w:w="2160"/>
        <w:gridCol w:w="2160"/>
        <w:gridCol w:w="2160"/>
        <w:gridCol w:w="2160"/>
      </w:tblGrid>
      <w:tr>
        <w:tc>
          <w:tcPr>
            <w:tcW w:type="dxa" w:w="864"/>
            <w:shd w:val="clear" w:color="auto" w:fill="D9D9D9"/>
          </w:tcPr>
          <w:p>
            <w:r>
              <w:rPr>
                <w:b/>
                <w:sz w:val="19"/>
              </w:rPr>
              <w:t>ID</w:t>
            </w:r>
          </w:p>
        </w:tc>
        <w:tc>
          <w:tcPr>
            <w:tcW w:type="dxa" w:w="2736"/>
            <w:shd w:val="clear" w:color="auto" w:fill="D9D9D9"/>
          </w:tcPr>
          <w:p>
            <w:r>
              <w:rPr>
                <w:b/>
                <w:sz w:val="19"/>
              </w:rPr>
              <w:t>Workflow</w:t>
            </w:r>
          </w:p>
        </w:tc>
        <w:tc>
          <w:tcPr>
            <w:tcW w:type="dxa" w:w="1440"/>
            <w:shd w:val="clear" w:color="auto" w:fill="D9D9D9"/>
          </w:tcPr>
          <w:p>
            <w:r>
              <w:rPr>
                <w:b/>
                <w:sz w:val="19"/>
              </w:rPr>
              <w:t>Result (20 Jul round)</w:t>
            </w:r>
          </w:p>
        </w:tc>
        <w:tc>
          <w:tcPr>
            <w:tcW w:type="dxa" w:w="3744"/>
            <w:shd w:val="clear" w:color="auto" w:fill="D9D9D9"/>
          </w:tcPr>
          <w:p>
            <w:r>
              <w:rPr>
                <w:b/>
                <w:sz w:val="19"/>
              </w:rPr>
              <w:t>Notes</w:t>
            </w:r>
          </w:p>
        </w:tc>
      </w:tr>
      <w:tr>
        <w:tc>
          <w:tcPr>
            <w:tcW w:type="dxa" w:w="864"/>
          </w:tcPr>
          <w:p>
            <w:r>
              <w:rPr>
                <w:sz w:val="19"/>
              </w:rPr>
              <w:t>UAT-01</w:t>
            </w:r>
          </w:p>
        </w:tc>
        <w:tc>
          <w:tcPr>
            <w:tcW w:type="dxa" w:w="2736"/>
          </w:tcPr>
          <w:p>
            <w:r>
              <w:rPr>
                <w:sz w:val="19"/>
              </w:rPr>
              <w:t>Login &amp; Authentication</w:t>
            </w:r>
          </w:p>
        </w:tc>
        <w:tc>
          <w:tcPr>
            <w:tcW w:type="dxa" w:w="1440"/>
          </w:tcPr>
          <w:p>
            <w:r>
              <w:rPr>
                <w:sz w:val="19"/>
              </w:rPr>
              <w:t>Pass</w:t>
            </w:r>
          </w:p>
        </w:tc>
        <w:tc>
          <w:tcPr>
            <w:tcW w:type="dxa" w:w="3744"/>
          </w:tcPr>
          <w:p>
            <w:r>
              <w:rPr>
                <w:sz w:val="19"/>
              </w:rPr>
              <w:t>Predates password-reset feature (TSK-022, §4) -- re-test required.</w:t>
            </w:r>
          </w:p>
        </w:tc>
      </w:tr>
      <w:tr>
        <w:tc>
          <w:tcPr>
            <w:tcW w:type="dxa" w:w="864"/>
          </w:tcPr>
          <w:p>
            <w:r>
              <w:rPr>
                <w:sz w:val="19"/>
              </w:rPr>
              <w:t>UAT-02</w:t>
            </w:r>
          </w:p>
        </w:tc>
        <w:tc>
          <w:tcPr>
            <w:tcW w:type="dxa" w:w="2736"/>
          </w:tcPr>
          <w:p>
            <w:r>
              <w:rPr>
                <w:sz w:val="19"/>
              </w:rPr>
              <w:t>Case List</w:t>
            </w:r>
          </w:p>
        </w:tc>
        <w:tc>
          <w:tcPr>
            <w:tcW w:type="dxa" w:w="1440"/>
          </w:tcPr>
          <w:p>
            <w:r>
              <w:rPr>
                <w:sz w:val="19"/>
              </w:rPr>
              <w:t>Pass</w:t>
            </w:r>
          </w:p>
        </w:tc>
        <w:tc>
          <w:tcPr>
            <w:tcW w:type="dxa" w:w="3744"/>
          </w:tcPr>
          <w:p>
            <w:r>
              <w:rPr>
                <w:sz w:val="19"/>
              </w:rPr>
              <w:t>Predates header search/filter toolbar (TSK-028, §4) -- re-test required.</w:t>
            </w:r>
          </w:p>
        </w:tc>
      </w:tr>
      <w:tr>
        <w:tc>
          <w:tcPr>
            <w:tcW w:type="dxa" w:w="864"/>
          </w:tcPr>
          <w:p>
            <w:r>
              <w:rPr>
                <w:sz w:val="19"/>
              </w:rPr>
              <w:t>UAT-03</w:t>
            </w:r>
          </w:p>
        </w:tc>
        <w:tc>
          <w:tcPr>
            <w:tcW w:type="dxa" w:w="2736"/>
          </w:tcPr>
          <w:p>
            <w:r>
              <w:rPr>
                <w:sz w:val="19"/>
              </w:rPr>
              <w:t>Case Creation</w:t>
            </w:r>
          </w:p>
        </w:tc>
        <w:tc>
          <w:tcPr>
            <w:tcW w:type="dxa" w:w="1440"/>
          </w:tcPr>
          <w:p>
            <w:r>
              <w:rPr>
                <w:sz w:val="19"/>
              </w:rPr>
              <w:t>Pass</w:t>
            </w:r>
          </w:p>
        </w:tc>
        <w:tc>
          <w:tcPr>
            <w:tcW w:type="dxa" w:w="3744"/>
          </w:tcPr>
          <w:p>
            <w:r>
              <w:rPr>
                <w:sz w:val="19"/>
              </w:rPr>
              <w:t>No change noted at the time.</w:t>
            </w:r>
          </w:p>
        </w:tc>
      </w:tr>
      <w:tr>
        <w:tc>
          <w:tcPr>
            <w:tcW w:type="dxa" w:w="864"/>
          </w:tcPr>
          <w:p>
            <w:r>
              <w:rPr>
                <w:sz w:val="19"/>
              </w:rPr>
              <w:t>UAT-04</w:t>
            </w:r>
          </w:p>
        </w:tc>
        <w:tc>
          <w:tcPr>
            <w:tcW w:type="dxa" w:w="2736"/>
          </w:tcPr>
          <w:p>
            <w:r>
              <w:rPr>
                <w:sz w:val="19"/>
              </w:rPr>
              <w:t>Dashboard</w:t>
            </w:r>
          </w:p>
        </w:tc>
        <w:tc>
          <w:tcPr>
            <w:tcW w:type="dxa" w:w="1440"/>
          </w:tcPr>
          <w:p>
            <w:r>
              <w:rPr>
                <w:sz w:val="19"/>
              </w:rPr>
              <w:t>Pass</w:t>
            </w:r>
          </w:p>
        </w:tc>
        <w:tc>
          <w:tcPr>
            <w:tcW w:type="dxa" w:w="3744"/>
          </w:tcPr>
          <w:p>
            <w:r>
              <w:rPr>
                <w:sz w:val="19"/>
              </w:rPr>
              <w:t>No change noted at the time.</w:t>
            </w:r>
          </w:p>
        </w:tc>
      </w:tr>
      <w:tr>
        <w:tc>
          <w:tcPr>
            <w:tcW w:type="dxa" w:w="864"/>
          </w:tcPr>
          <w:p>
            <w:r>
              <w:rPr>
                <w:sz w:val="19"/>
              </w:rPr>
              <w:t>UAT-05</w:t>
            </w:r>
          </w:p>
        </w:tc>
        <w:tc>
          <w:tcPr>
            <w:tcW w:type="dxa" w:w="2736"/>
          </w:tcPr>
          <w:p>
            <w:r>
              <w:rPr>
                <w:sz w:val="19"/>
              </w:rPr>
              <w:t>Collaboration (Chat/Notifications)</w:t>
            </w:r>
          </w:p>
        </w:tc>
        <w:tc>
          <w:tcPr>
            <w:tcW w:type="dxa" w:w="1440"/>
          </w:tcPr>
          <w:p>
            <w:r>
              <w:rPr>
                <w:sz w:val="19"/>
              </w:rPr>
              <w:t>Pass</w:t>
            </w:r>
          </w:p>
        </w:tc>
        <w:tc>
          <w:tcPr>
            <w:tcW w:type="dxa" w:w="3744"/>
          </w:tcPr>
          <w:p>
            <w:r>
              <w:rPr>
                <w:sz w:val="19"/>
              </w:rPr>
              <w:t>No change noted at the time.</w:t>
            </w:r>
          </w:p>
        </w:tc>
      </w:tr>
      <w:tr>
        <w:tc>
          <w:tcPr>
            <w:tcW w:type="dxa" w:w="864"/>
          </w:tcPr>
          <w:p>
            <w:r>
              <w:rPr>
                <w:sz w:val="19"/>
              </w:rPr>
              <w:t>UAT-06</w:t>
            </w:r>
          </w:p>
        </w:tc>
        <w:tc>
          <w:tcPr>
            <w:tcW w:type="dxa" w:w="2736"/>
          </w:tcPr>
          <w:p>
            <w:r>
              <w:rPr>
                <w:sz w:val="19"/>
              </w:rPr>
              <w:t>2D Annotation</w:t>
            </w:r>
          </w:p>
        </w:tc>
        <w:tc>
          <w:tcPr>
            <w:tcW w:type="dxa" w:w="1440"/>
          </w:tcPr>
          <w:p>
            <w:r>
              <w:rPr>
                <w:sz w:val="19"/>
              </w:rPr>
              <w:t>Pass</w:t>
            </w:r>
          </w:p>
        </w:tc>
        <w:tc>
          <w:tcPr>
            <w:tcW w:type="dxa" w:w="3744"/>
          </w:tcPr>
          <w:p>
            <w:r>
              <w:rPr>
                <w:sz w:val="19"/>
              </w:rPr>
              <w:t>Predates denture-base material selection (TSK-027, §4) -- re-test required.</w:t>
            </w:r>
          </w:p>
        </w:tc>
      </w:tr>
      <w:tr>
        <w:tc>
          <w:tcPr>
            <w:tcW w:type="dxa" w:w="864"/>
          </w:tcPr>
          <w:p>
            <w:r>
              <w:rPr>
                <w:sz w:val="19"/>
              </w:rPr>
              <w:t>UAT-07</w:t>
            </w:r>
          </w:p>
        </w:tc>
        <w:tc>
          <w:tcPr>
            <w:tcW w:type="dxa" w:w="2736"/>
          </w:tcPr>
          <w:p>
            <w:r>
              <w:rPr>
                <w:sz w:val="19"/>
              </w:rPr>
              <w:t>Embedded 3D Preview</w:t>
            </w:r>
          </w:p>
        </w:tc>
        <w:tc>
          <w:tcPr>
            <w:tcW w:type="dxa" w:w="1440"/>
          </w:tcPr>
          <w:p>
            <w:r>
              <w:rPr>
                <w:sz w:val="19"/>
              </w:rPr>
              <w:t>Pass</w:t>
            </w:r>
          </w:p>
        </w:tc>
        <w:tc>
          <w:tcPr>
            <w:tcW w:type="dxa" w:w="3744"/>
          </w:tcPr>
          <w:p>
            <w:r>
              <w:rPr>
                <w:sz w:val="19"/>
              </w:rPr>
              <w:t>Predates jaw-preview survey angle targeting (TSK-026, §4) -- re-test required.</w:t>
            </w:r>
          </w:p>
        </w:tc>
      </w:tr>
      <w:tr>
        <w:tc>
          <w:tcPr>
            <w:tcW w:type="dxa" w:w="864"/>
          </w:tcPr>
          <w:p>
            <w:r>
              <w:rPr>
                <w:sz w:val="19"/>
              </w:rPr>
              <w:t>UAT-08</w:t>
            </w:r>
          </w:p>
        </w:tc>
        <w:tc>
          <w:tcPr>
            <w:tcW w:type="dxa" w:w="2736"/>
          </w:tcPr>
          <w:p>
            <w:r>
              <w:rPr>
                <w:sz w:val="19"/>
              </w:rPr>
              <w:t>3D Viewer (standalone)</w:t>
            </w:r>
          </w:p>
        </w:tc>
        <w:tc>
          <w:tcPr>
            <w:tcW w:type="dxa" w:w="1440"/>
          </w:tcPr>
          <w:p>
            <w:r>
              <w:rPr>
                <w:sz w:val="19"/>
              </w:rPr>
              <w:t>Partial</w:t>
            </w:r>
          </w:p>
        </w:tc>
        <w:tc>
          <w:tcPr>
            <w:tcW w:type="dxa" w:w="3744"/>
          </w:tcPr>
          <w:p>
            <w:r>
              <w:rPr>
                <w:sz w:val="19"/>
              </w:rPr>
              <w:t>TSK-007 unresolved; TSK-026's camera/control changes make re-test more important, not less.</w:t>
            </w:r>
          </w:p>
        </w:tc>
      </w:tr>
      <w:tr>
        <w:tc>
          <w:tcPr>
            <w:tcW w:type="dxa" w:w="864"/>
          </w:tcPr>
          <w:p>
            <w:r>
              <w:rPr>
                <w:sz w:val="19"/>
              </w:rPr>
              <w:t>UAT-09</w:t>
            </w:r>
          </w:p>
        </w:tc>
        <w:tc>
          <w:tcPr>
            <w:tcW w:type="dxa" w:w="2736"/>
          </w:tcPr>
          <w:p>
            <w:r>
              <w:rPr>
                <w:sz w:val="19"/>
              </w:rPr>
              <w:t>Add STL Files</w:t>
            </w:r>
          </w:p>
        </w:tc>
        <w:tc>
          <w:tcPr>
            <w:tcW w:type="dxa" w:w="1440"/>
          </w:tcPr>
          <w:p>
            <w:r>
              <w:rPr>
                <w:sz w:val="19"/>
              </w:rPr>
              <w:t>Pass</w:t>
            </w:r>
          </w:p>
        </w:tc>
        <w:tc>
          <w:tcPr>
            <w:tcW w:type="dxa" w:w="3744"/>
          </w:tcPr>
          <w:p>
            <w:r>
              <w:rPr>
                <w:sz w:val="19"/>
              </w:rPr>
              <w:t>No change noted at the time.</w:t>
            </w:r>
          </w:p>
        </w:tc>
      </w:tr>
      <w:tr>
        <w:tc>
          <w:tcPr>
            <w:tcW w:type="dxa" w:w="864"/>
          </w:tcPr>
          <w:p>
            <w:r>
              <w:rPr>
                <w:sz w:val="19"/>
              </w:rPr>
              <w:t>UAT-10</w:t>
            </w:r>
          </w:p>
        </w:tc>
        <w:tc>
          <w:tcPr>
            <w:tcW w:type="dxa" w:w="2736"/>
          </w:tcPr>
          <w:p>
            <w:r>
              <w:rPr>
                <w:sz w:val="19"/>
              </w:rPr>
              <w:t>Version History</w:t>
            </w:r>
          </w:p>
        </w:tc>
        <w:tc>
          <w:tcPr>
            <w:tcW w:type="dxa" w:w="1440"/>
          </w:tcPr>
          <w:p>
            <w:r>
              <w:rPr>
                <w:sz w:val="19"/>
              </w:rPr>
              <w:t>Pass</w:t>
            </w:r>
          </w:p>
        </w:tc>
        <w:tc>
          <w:tcPr>
            <w:tcW w:type="dxa" w:w="3744"/>
          </w:tcPr>
          <w:p>
            <w:r>
              <w:rPr>
                <w:sz w:val="19"/>
              </w:rPr>
              <w:t>No change noted at the time.</w:t>
            </w:r>
          </w:p>
        </w:tc>
      </w:tr>
      <w:tr>
        <w:tc>
          <w:tcPr>
            <w:tcW w:type="dxa" w:w="864"/>
          </w:tcPr>
          <w:p>
            <w:r>
              <w:rPr>
                <w:sz w:val="19"/>
              </w:rPr>
              <w:t>UAT-11</w:t>
            </w:r>
          </w:p>
        </w:tc>
        <w:tc>
          <w:tcPr>
            <w:tcW w:type="dxa" w:w="2736"/>
          </w:tcPr>
          <w:p>
            <w:r>
              <w:rPr>
                <w:sz w:val="19"/>
              </w:rPr>
              <w:t>Download / Export / Share</w:t>
            </w:r>
          </w:p>
        </w:tc>
        <w:tc>
          <w:tcPr>
            <w:tcW w:type="dxa" w:w="1440"/>
          </w:tcPr>
          <w:p>
            <w:r>
              <w:rPr>
                <w:sz w:val="19"/>
              </w:rPr>
              <w:t>Pass</w:t>
            </w:r>
          </w:p>
        </w:tc>
        <w:tc>
          <w:tcPr>
            <w:tcW w:type="dxa" w:w="3744"/>
          </w:tcPr>
          <w:p>
            <w:r>
              <w:rPr>
                <w:sz w:val="19"/>
              </w:rPr>
              <w:t>No change noted at the time.</w:t>
            </w:r>
          </w:p>
        </w:tc>
      </w:tr>
      <w:tr>
        <w:tc>
          <w:tcPr>
            <w:tcW w:type="dxa" w:w="864"/>
          </w:tcPr>
          <w:p>
            <w:r>
              <w:rPr>
                <w:sz w:val="19"/>
              </w:rPr>
              <w:t>UAT-12</w:t>
            </w:r>
          </w:p>
        </w:tc>
        <w:tc>
          <w:tcPr>
            <w:tcW w:type="dxa" w:w="2736"/>
          </w:tcPr>
          <w:p>
            <w:r>
              <w:rPr>
                <w:sz w:val="19"/>
              </w:rPr>
              <w:t>Responsive (tablet + mobile)</w:t>
            </w:r>
          </w:p>
        </w:tc>
        <w:tc>
          <w:tcPr>
            <w:tcW w:type="dxa" w:w="1440"/>
          </w:tcPr>
          <w:p>
            <w:r>
              <w:rPr>
                <w:sz w:val="19"/>
              </w:rPr>
              <w:t>Pass</w:t>
            </w:r>
          </w:p>
        </w:tc>
        <w:tc>
          <w:tcPr>
            <w:tcW w:type="dxa" w:w="3744"/>
          </w:tcPr>
          <w:p>
            <w:r>
              <w:rPr>
                <w:sz w:val="19"/>
              </w:rPr>
              <w:t>Predates TSK-028's mobile search-field changes -- re-test required.</w:t>
            </w:r>
          </w:p>
        </w:tc>
      </w:tr>
    </w:tbl>
    <w:p>
      <w:pPr>
        <w:spacing w:after="80"/>
      </w:pPr>
    </w:p>
    <w:p>
      <w:pPr>
        <w:pStyle w:val="Heading1"/>
      </w:pPr>
      <w:r>
        <w:t>4. What's Changed Since the Last Round (Re-Test Required)</w:t>
      </w:r>
    </w:p>
    <w:p>
      <w:pPr>
        <w:pStyle w:val="ListBullet"/>
      </w:pPr>
      <w:r>
        <w:t>TSK-022 — password reset / change-password flow (extends UAT-01). UAT-01's pass criteria should be updated to include the reset/change flow before re-testing.</w:t>
      </w:r>
    </w:p>
    <w:p>
      <w:pPr>
        <w:pStyle w:val="ListBullet"/>
      </w:pPr>
      <w:r>
        <w:t>TSK-023, TSK-024 — admin machine-ID and user-management pages. No standing UAT case; Test Coordinator to decide whether these need a formal UAT-14 or are covered under a separate admin-acceptance process.</w:t>
      </w:r>
    </w:p>
    <w:p>
      <w:pPr>
        <w:pStyle w:val="ListBullet"/>
      </w:pPr>
      <w:r>
        <w:t>TSK-025 — AI-powered help assistant. No standing UAT case; recommend drafting UAT-13 before the next full round (71 automated tests already back it, per Automated_Test_Suite_Report.docx, but that's not a substitute for a UAT pass/fail against real usage).</w:t>
      </w:r>
    </w:p>
    <w:p>
      <w:pPr>
        <w:pStyle w:val="ListBullet"/>
      </w:pPr>
      <w:r>
        <w:t>TSK-026 — jaw-preview survey angle targeting. Extends UAT-07/UAT-08 and touches the same camera/control surface as the still-open TSK-007 -- prioritize this in the next 3D Viewer UAT pass.</w:t>
      </w:r>
    </w:p>
    <w:p>
      <w:pPr>
        <w:pStyle w:val="ListBullet"/>
      </w:pPr>
      <w:r>
        <w:t>TSK-027 — denture-base material selection and component restrictions. Extends UAT-06.</w:t>
      </w:r>
    </w:p>
    <w:p>
      <w:pPr>
        <w:pStyle w:val="ListBullet"/>
      </w:pPr>
      <w:r>
        <w:t>TSK-028 — case-list header search/stage-filter toolbar, including mobile-specific behaviour. Extends UAT-02 and UAT-12.</w:t>
      </w:r>
    </w:p>
    <w:p>
      <w:pPr>
        <w:pStyle w:val="Heading1"/>
      </w:pPr>
      <w:r>
        <w:t>5. Entry Criteria for the Next Round</w:t>
      </w:r>
    </w:p>
    <w:p>
      <w:pPr>
        <w:pStyle w:val="ListBullet"/>
      </w:pPr>
      <w:r>
        <w:t>UAT-01's pass criteria updated to cover password reset/change-password (§4).</w:t>
      </w:r>
    </w:p>
    <w:p>
      <w:pPr>
        <w:pStyle w:val="ListBullet"/>
      </w:pPr>
      <w:r>
        <w:t>UAT-13 (Help Assistant) drafted and added to the standing case set.</w:t>
      </w:r>
    </w:p>
    <w:p>
      <w:pPr>
        <w:pStyle w:val="ListBullet"/>
      </w:pPr>
      <w:r>
        <w:t>Test Coordinator decision recorded on whether the admin module (TSK-023/024) needs a formal UAT case.</w:t>
      </w:r>
    </w:p>
    <w:p>
      <w:pPr>
        <w:pStyle w:val="ListBullet"/>
      </w:pPr>
      <w:r>
        <w:t>manifest.json on the live nyunt/dev-W7.1 site confirmed to match the commit this round is meant to test, per UAT_Protocol_SOP.docx §4.</w:t>
      </w:r>
    </w:p>
    <w:p>
      <w:pPr>
        <w:pStyle w:val="Heading1"/>
      </w:pPr>
      <w:r>
        <w:t>6. Overall UAT Verdict</w:t>
      </w:r>
    </w:p>
    <w:p>
      <w:r>
        <w:rPr>
          <w:b/>
        </w:rPr>
        <w:t xml:space="preserve">NOT YET ASSESSED for this branch. </w:t>
      </w:r>
      <w:r>
        <w:t>The 20 July round (§3) remains the last executed UAT pass and should not be cited as covering this branch's current feature set. Recommend scheduling a new round once §5's entry criteria are met.</w:t>
      </w:r>
    </w:p>
    <w:p>
      <w:pPr>
        <w:pStyle w:val="Heading1"/>
      </w:pPr>
      <w:r>
        <w:t>7. Sign-off (Pending — Next Round)</w:t>
      </w:r>
    </w:p>
    <w:tbl>
      <w:tblPr>
        <w:tblStyle w:val="TableGrid"/>
        <w:tblW w:type="auto" w:w="0"/>
        <w:tblLook w:firstColumn="1" w:firstRow="1" w:lastColumn="0" w:lastRow="0" w:noHBand="0" w:noVBand="1" w:val="04A0"/>
      </w:tblPr>
      <w:tblGrid>
        <w:gridCol w:w="2880"/>
        <w:gridCol w:w="2880"/>
        <w:gridCol w:w="2880"/>
      </w:tblGrid>
      <w:tr>
        <w:tc>
          <w:tcPr>
            <w:tcW w:type="dxa" w:w="2592"/>
            <w:shd w:val="clear" w:color="auto" w:fill="D9D9D9"/>
          </w:tcPr>
          <w:p>
            <w:r>
              <w:rPr>
                <w:b/>
                <w:sz w:val="19"/>
              </w:rPr>
              <w:t>Role</w:t>
            </w:r>
          </w:p>
        </w:tc>
        <w:tc>
          <w:tcPr>
            <w:tcW w:type="dxa" w:w="4032"/>
            <w:shd w:val="clear" w:color="auto" w:fill="D9D9D9"/>
          </w:tcPr>
          <w:p>
            <w:r>
              <w:rPr>
                <w:b/>
                <w:sz w:val="19"/>
              </w:rPr>
              <w:t>Name / Signature</w:t>
            </w:r>
          </w:p>
        </w:tc>
        <w:tc>
          <w:tcPr>
            <w:tcW w:type="dxa" w:w="2160"/>
            <w:shd w:val="clear" w:color="auto" w:fill="D9D9D9"/>
          </w:tcPr>
          <w:p>
            <w:r>
              <w:rPr>
                <w:b/>
                <w:sz w:val="19"/>
              </w:rPr>
              <w:t>Date</w:t>
            </w:r>
          </w:p>
        </w:tc>
      </w:tr>
      <w:tr>
        <w:tc>
          <w:tcPr>
            <w:tcW w:type="dxa" w:w="2592"/>
          </w:tcPr>
          <w:p>
            <w:r>
              <w:rPr>
                <w:sz w:val="19"/>
              </w:rPr>
              <w:t>UAT Tester</w:t>
            </w:r>
          </w:p>
        </w:tc>
        <w:tc>
          <w:tcPr>
            <w:tcW w:type="dxa" w:w="4032"/>
          </w:tcPr>
          <w:p>
            <w:r>
              <w:rPr>
                <w:sz w:val="19"/>
              </w:rPr>
              <w:t>________________________</w:t>
            </w:r>
          </w:p>
        </w:tc>
        <w:tc>
          <w:tcPr>
            <w:tcW w:type="dxa" w:w="2160"/>
          </w:tcPr>
          <w:p>
            <w:r>
              <w:rPr>
                <w:sz w:val="19"/>
              </w:rPr>
              <w:t>____ / ____ / 2026</w:t>
            </w:r>
          </w:p>
        </w:tc>
      </w:tr>
      <w:tr>
        <w:tc>
          <w:tcPr>
            <w:tcW w:type="dxa" w:w="2592"/>
          </w:tcPr>
          <w:p>
            <w:r>
              <w:rPr>
                <w:sz w:val="19"/>
              </w:rPr>
              <w:t>Test Coordinator</w:t>
            </w:r>
          </w:p>
        </w:tc>
        <w:tc>
          <w:tcPr>
            <w:tcW w:type="dxa" w:w="4032"/>
          </w:tcPr>
          <w:p>
            <w:r>
              <w:rPr>
                <w:sz w:val="19"/>
              </w:rPr>
              <w:t>________________________</w:t>
            </w:r>
          </w:p>
        </w:tc>
        <w:tc>
          <w:tcPr>
            <w:tcW w:type="dxa" w:w="2160"/>
          </w:tcPr>
          <w:p>
            <w:r>
              <w:rPr>
                <w:sz w:val="19"/>
              </w:rPr>
              <w:t>____ / ____ / 2026</w:t>
            </w:r>
          </w:p>
        </w:tc>
      </w:tr>
      <w:tr>
        <w:tc>
          <w:tcPr>
            <w:tcW w:type="dxa" w:w="2592"/>
          </w:tcPr>
          <w:p>
            <w:r>
              <w:rPr>
                <w:sz w:val="19"/>
              </w:rPr>
              <w:t>Approving Authority</w:t>
            </w:r>
          </w:p>
        </w:tc>
        <w:tc>
          <w:tcPr>
            <w:tcW w:type="dxa" w:w="4032"/>
          </w:tcPr>
          <w:p>
            <w:r>
              <w:rPr>
                <w:sz w:val="19"/>
              </w:rPr>
              <w:t>________________________</w:t>
            </w:r>
          </w:p>
        </w:tc>
        <w:tc>
          <w:tcPr>
            <w:tcW w:type="dxa" w:w="2160"/>
          </w:tcPr>
          <w:p>
            <w:r>
              <w:rPr>
                <w:sz w:val="19"/>
              </w:rPr>
              <w:t>____ / ____ / 2026</w:t>
            </w:r>
          </w:p>
        </w:tc>
      </w:tr>
    </w:tbl>
    <w:p>
      <w:pPr>
        <w:spacing w:after="80"/>
      </w:pPr>
    </w:p>
    <w:p>
      <w:pPr>
        <w:pStyle w:val="Heading1"/>
      </w:pPr>
      <w:r>
        <w:t>8. Document Control</w:t>
      </w:r>
    </w:p>
    <w:tbl>
      <w:tblPr>
        <w:tblStyle w:val="TableGrid"/>
        <w:tblW w:type="auto" w:w="0"/>
        <w:tblLook w:firstColumn="1" w:firstRow="1" w:lastColumn="0" w:lastRow="0" w:noHBand="0" w:noVBand="1" w:val="04A0"/>
      </w:tblPr>
      <w:tblGrid>
        <w:gridCol w:w="4320"/>
        <w:gridCol w:w="4320"/>
      </w:tblGrid>
      <w:tr>
        <w:tc>
          <w:tcPr>
            <w:tcW w:type="dxa" w:w="2592"/>
            <w:shd w:val="clear" w:color="auto" w:fill="D9D9D9"/>
          </w:tcPr>
          <w:p>
            <w:r>
              <w:rPr>
                <w:b/>
                <w:sz w:val="19"/>
              </w:rPr>
              <w:t>Field</w:t>
            </w:r>
          </w:p>
        </w:tc>
        <w:tc>
          <w:tcPr>
            <w:tcW w:type="dxa" w:w="6768"/>
            <w:shd w:val="clear" w:color="auto" w:fill="D9D9D9"/>
          </w:tcPr>
          <w:p>
            <w:r>
              <w:rPr>
                <w:b/>
                <w:sz w:val="19"/>
              </w:rPr>
              <w:t>Value</w:t>
            </w:r>
          </w:p>
        </w:tc>
      </w:tr>
      <w:tr>
        <w:tc>
          <w:tcPr>
            <w:tcW w:type="dxa" w:w="2592"/>
          </w:tcPr>
          <w:p>
            <w:r>
              <w:rPr>
                <w:sz w:val="19"/>
              </w:rPr>
              <w:t>Document Type</w:t>
            </w:r>
          </w:p>
        </w:tc>
        <w:tc>
          <w:tcPr>
            <w:tcW w:type="dxa" w:w="6768"/>
          </w:tcPr>
          <w:p>
            <w:r>
              <w:rPr>
                <w:sz w:val="19"/>
              </w:rPr>
              <w:t>UAT Report</w:t>
            </w:r>
          </w:p>
        </w:tc>
      </w:tr>
      <w:tr>
        <w:tc>
          <w:tcPr>
            <w:tcW w:type="dxa" w:w="2592"/>
          </w:tcPr>
          <w:p>
            <w:r>
              <w:rPr>
                <w:sz w:val="19"/>
              </w:rPr>
              <w:t>Application</w:t>
            </w:r>
          </w:p>
        </w:tc>
        <w:tc>
          <w:tcPr>
            <w:tcW w:type="dxa" w:w="6768"/>
          </w:tcPr>
          <w:p>
            <w:r>
              <w:rPr>
                <w:sz w:val="19"/>
              </w:rPr>
              <w:t>SmartRPD Web Application</w:t>
            </w:r>
          </w:p>
        </w:tc>
      </w:tr>
      <w:tr>
        <w:tc>
          <w:tcPr>
            <w:tcW w:type="dxa" w:w="2592"/>
          </w:tcPr>
          <w:p>
            <w:r>
              <w:rPr>
                <w:sz w:val="19"/>
              </w:rPr>
              <w:t>Environment</w:t>
            </w:r>
          </w:p>
        </w:tc>
        <w:tc>
          <w:tcPr>
            <w:tcW w:type="dxa" w:w="6768"/>
          </w:tcPr>
          <w:p>
            <w:r>
              <w:rPr>
                <w:sz w:val="19"/>
              </w:rPr>
              <w:t>dev-deploy-shafik-2</w:t>
            </w:r>
          </w:p>
        </w:tc>
      </w:tr>
      <w:tr>
        <w:tc>
          <w:tcPr>
            <w:tcW w:type="dxa" w:w="2592"/>
          </w:tcPr>
          <w:p>
            <w:r>
              <w:rPr>
                <w:sz w:val="19"/>
              </w:rPr>
              <w:t>Live URL</w:t>
            </w:r>
          </w:p>
        </w:tc>
        <w:tc>
          <w:tcPr>
            <w:tcW w:type="dxa" w:w="6768"/>
          </w:tcPr>
          <w:p>
            <w:r>
              <w:rPr>
                <w:sz w:val="19"/>
              </w:rPr>
              <w:t>https://faid123.github.io/.tmp-test-web/</w:t>
            </w:r>
          </w:p>
        </w:tc>
      </w:tr>
      <w:tr>
        <w:tc>
          <w:tcPr>
            <w:tcW w:type="dxa" w:w="2592"/>
          </w:tcPr>
          <w:p>
            <w:r>
              <w:rPr>
                <w:sz w:val="19"/>
              </w:rPr>
              <w:t>Last Updated</w:t>
            </w:r>
          </w:p>
        </w:tc>
        <w:tc>
          <w:tcPr>
            <w:tcW w:type="dxa" w:w="6768"/>
          </w:tcPr>
          <w:p>
            <w:r>
              <w:rPr>
                <w:sz w:val="19"/>
              </w:rPr>
              <w:t>24 July 2026</w:t>
            </w:r>
          </w:p>
        </w:tc>
      </w:tr>
      <w:tr>
        <w:tc>
          <w:tcPr>
            <w:tcW w:type="dxa" w:w="2592"/>
          </w:tcPr>
          <w:p>
            <w:r>
              <w:rPr>
                <w:sz w:val="19"/>
              </w:rPr>
              <w:t>Prepared By</w:t>
            </w:r>
          </w:p>
        </w:tc>
        <w:tc>
          <w:tcPr>
            <w:tcW w:type="dxa" w:w="6768"/>
          </w:tcPr>
          <w:p>
            <w:r>
              <w:rPr>
                <w:sz w:val="19"/>
              </w:rPr>
              <w:t>Shafik Hakim Bin Abdul Wahid, Nyunt Sin Htet</w:t>
            </w:r>
          </w:p>
        </w:tc>
      </w:tr>
      <w:tr>
        <w:tc>
          <w:tcPr>
            <w:tcW w:type="dxa" w:w="2592"/>
          </w:tcPr>
          <w:p>
            <w:r>
              <w:rPr>
                <w:sz w:val="19"/>
              </w:rPr>
              <w:t>Overall Status</w:t>
            </w:r>
          </w:p>
        </w:tc>
        <w:tc>
          <w:tcPr>
            <w:tcW w:type="dxa" w:w="6768"/>
          </w:tcPr>
          <w:p>
            <w:r>
              <w:rPr>
                <w:sz w:val="19"/>
              </w:rPr>
              <w:t>No new round executed — historical round from a different branch/commit carried forward for reference (§3); next-round entry criteria listed in §5.</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