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  <w:jc w:val="center"/>
      </w:pPr>
      <w:r>
        <w:rPr>
          <w:b/>
          <w:color w:val="1F3864"/>
          <w:sz w:val="32"/>
        </w:rPr>
        <w:t>CCTP RELEVANCE ANALYSIS</w:t>
      </w:r>
    </w:p>
    <w:p>
      <w:pPr>
        <w:spacing w:before="0" w:after="160"/>
        <w:jc w:val="center"/>
      </w:pPr>
      <w:r>
        <w:rPr>
          <w:color w:val="2E75B6"/>
          <w:sz w:val="22"/>
        </w:rPr>
        <w:t>Datacenter Modernization — Mutuelle de l'Armée Nationale (Tunisia)</w:t>
      </w:r>
    </w:p>
    <w:p>
      <w:pPr>
        <w:spacing w:before="120" w:after="60"/>
      </w:pPr>
      <w:r>
        <w:rPr>
          <w:b/>
          <w:color w:val="1F3864"/>
          <w:sz w:val="26"/>
        </w:rPr>
        <w:t>1. Extraction and Mapping</w:t>
      </w:r>
    </w:p>
    <w:p>
      <w:pPr>
        <w:spacing w:before="40" w:after="80"/>
      </w:pPr>
      <w:r>
        <w:rPr>
          <w:b w:val="0"/>
          <w:color w:val="404040"/>
          <w:sz w:val="20"/>
        </w:rPr>
        <w:t>Full datacenter refresh for the Mutuelle de l'Armée Nationale (Ministry of Defence, Tunisia). Single contract, eight indissociable items, 120-day execution after contract approval. Existing VMware vSphere 8 platform to be migrated.</w:t>
      </w:r>
    </w:p>
    <w:p>
      <w:pPr>
        <w:spacing w:before="40" w:after="40"/>
      </w:pPr>
      <w:r>
        <w:rPr>
          <w:b/>
          <w:color w:val="404040"/>
          <w:sz w:val="20"/>
        </w:rPr>
        <w:t>Items summary: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rPr>
          <w:tblHeader/>
        </w:trPr>
        <w:tc>
          <w:tcPr>
            <w:tcW w:type="dxa" w:w="2550"/>
            <w:shd w:val="clear" w:color="auto" w:fill="1F3864"/>
          </w:tcPr>
          <w:p>
            <w:pPr>
              <w:spacing w:before="40" w:after="40"/>
              <w:jc w:val="left"/>
            </w:pPr>
            <w:r/>
            <w:r>
              <w:rPr>
                <w:b/>
                <w:color w:val="1F3864"/>
                <w:sz w:val="18"/>
              </w:rPr>
              <w:t>#</w:t>
            </w:r>
          </w:p>
        </w:tc>
        <w:tc>
          <w:tcPr>
            <w:tcW w:type="dxa" w:w="2550"/>
            <w:shd w:val="clear" w:color="auto" w:fill="1F3864"/>
          </w:tcPr>
          <w:p>
            <w:pPr>
              <w:spacing w:before="40" w:after="40"/>
              <w:jc w:val="left"/>
            </w:pPr>
            <w:r/>
            <w:r>
              <w:rPr>
                <w:b/>
                <w:color w:val="1F3864"/>
                <w:sz w:val="18"/>
              </w:rPr>
              <w:t>Item</w:t>
            </w:r>
          </w:p>
        </w:tc>
        <w:tc>
          <w:tcPr>
            <w:tcW w:type="dxa" w:w="2550"/>
            <w:shd w:val="clear" w:color="auto" w:fill="1F3864"/>
          </w:tcPr>
          <w:p>
            <w:pPr>
              <w:spacing w:before="40" w:after="40"/>
              <w:jc w:val="left"/>
            </w:pPr>
            <w:r/>
            <w:r>
              <w:rPr>
                <w:b/>
                <w:color w:val="1F3864"/>
                <w:sz w:val="18"/>
              </w:rPr>
              <w:t>Qty</w:t>
            </w:r>
          </w:p>
        </w:tc>
        <w:tc>
          <w:tcPr>
            <w:tcW w:type="dxa" w:w="2550"/>
            <w:shd w:val="clear" w:color="auto" w:fill="1F3864"/>
          </w:tcPr>
          <w:p>
            <w:pPr>
              <w:spacing w:before="40" w:after="40"/>
              <w:jc w:val="left"/>
            </w:pPr>
            <w:r/>
            <w:r>
              <w:rPr>
                <w:b/>
                <w:color w:val="1F3864"/>
                <w:sz w:val="18"/>
              </w:rPr>
              <w:t>Category</w:t>
            </w:r>
          </w:p>
        </w:tc>
      </w:tr>
      <w:tr>
        <w:tc>
          <w:tcPr>
            <w:tcW w:type="dxa" w:w="2550"/>
            <w:shd w:val="clear" w:color="auto" w:fill="FFFFFF"/>
          </w:tcPr>
          <w:p>
            <w:pPr>
              <w:spacing w:before="40" w:after="40"/>
              <w:jc w:val="left"/>
            </w:pPr>
            <w:r/>
            <w:r>
              <w:rPr>
                <w:color w:val="000000"/>
                <w:sz w:val="18"/>
              </w:rPr>
              <w:t>1</w:t>
            </w:r>
          </w:p>
        </w:tc>
        <w:tc>
          <w:tcPr>
            <w:tcW w:type="dxa" w:w="2550"/>
            <w:shd w:val="clear" w:color="auto" w:fill="FFFFFF"/>
          </w:tcPr>
          <w:p>
            <w:pPr>
              <w:spacing w:before="40" w:after="40"/>
              <w:jc w:val="left"/>
            </w:pPr>
            <w:r/>
            <w:r>
              <w:rPr>
                <w:color w:val="000000"/>
                <w:sz w:val="18"/>
              </w:rPr>
              <w:t>Virtualization servers</w:t>
            </w:r>
          </w:p>
        </w:tc>
        <w:tc>
          <w:tcPr>
            <w:tcW w:type="dxa" w:w="2550"/>
            <w:shd w:val="clear" w:color="auto" w:fill="FFFFFF"/>
          </w:tcPr>
          <w:p>
            <w:pPr>
              <w:spacing w:before="40" w:after="40"/>
              <w:jc w:val="left"/>
            </w:pPr>
            <w:r/>
            <w:r>
              <w:rPr>
                <w:color w:val="000000"/>
                <w:sz w:val="18"/>
              </w:rPr>
              <w:t>3</w:t>
            </w:r>
          </w:p>
        </w:tc>
        <w:tc>
          <w:tcPr>
            <w:tcW w:type="dxa" w:w="2550"/>
            <w:shd w:val="clear" w:color="auto" w:fill="FFFFFF"/>
          </w:tcPr>
          <w:p>
            <w:pPr>
              <w:spacing w:before="40" w:after="40"/>
              <w:jc w:val="left"/>
            </w:pPr>
            <w:r/>
            <w:r>
              <w:rPr>
                <w:color w:val="000000"/>
                <w:sz w:val="18"/>
              </w:rPr>
              <w:t>Compute</w:t>
            </w:r>
          </w:p>
        </w:tc>
      </w:tr>
      <w:tr>
        <w:tc>
          <w:tcPr>
            <w:tcW w:type="dxa" w:w="2550"/>
            <w:shd w:val="clear" w:color="auto" w:fill="FFFFFF"/>
          </w:tcPr>
          <w:p>
            <w:pPr>
              <w:spacing w:before="40" w:after="40"/>
              <w:jc w:val="left"/>
            </w:pPr>
            <w:r/>
            <w:r>
              <w:rPr>
                <w:color w:val="000000"/>
                <w:sz w:val="18"/>
              </w:rPr>
              <w:t>2</w:t>
            </w:r>
          </w:p>
        </w:tc>
        <w:tc>
          <w:tcPr>
            <w:tcW w:type="dxa" w:w="2550"/>
            <w:shd w:val="clear" w:color="auto" w:fill="FFFFFF"/>
          </w:tcPr>
          <w:p>
            <w:pPr>
              <w:spacing w:before="40" w:after="40"/>
              <w:jc w:val="left"/>
            </w:pPr>
            <w:r/>
            <w:r>
              <w:rPr>
                <w:color w:val="000000"/>
                <w:sz w:val="18"/>
              </w:rPr>
              <w:t>Virtualization software</w:t>
            </w:r>
          </w:p>
        </w:tc>
        <w:tc>
          <w:tcPr>
            <w:tcW w:type="dxa" w:w="2550"/>
            <w:shd w:val="clear" w:color="auto" w:fill="FFFFFF"/>
          </w:tcPr>
          <w:p>
            <w:pPr>
              <w:spacing w:before="40" w:after="40"/>
              <w:jc w:val="left"/>
            </w:pPr>
            <w:r/>
            <w:r>
              <w:rPr>
                <w:color w:val="000000"/>
                <w:sz w:val="18"/>
              </w:rPr>
              <w:t>1</w:t>
            </w:r>
          </w:p>
        </w:tc>
        <w:tc>
          <w:tcPr>
            <w:tcW w:type="dxa" w:w="2550"/>
            <w:shd w:val="clear" w:color="auto" w:fill="FFFFFF"/>
          </w:tcPr>
          <w:p>
            <w:pPr>
              <w:spacing w:before="40" w:after="40"/>
              <w:jc w:val="left"/>
            </w:pPr>
            <w:r/>
            <w:r>
              <w:rPr>
                <w:color w:val="000000"/>
                <w:sz w:val="18"/>
              </w:rPr>
              <w:t>Hypervisor</w:t>
            </w:r>
          </w:p>
        </w:tc>
      </w:tr>
      <w:tr>
        <w:tc>
          <w:tcPr>
            <w:tcW w:type="dxa" w:w="2550"/>
            <w:shd w:val="clear" w:color="auto" w:fill="FFFFFF"/>
          </w:tcPr>
          <w:p>
            <w:pPr>
              <w:spacing w:before="40" w:after="40"/>
              <w:jc w:val="left"/>
            </w:pPr>
            <w:r/>
            <w:r>
              <w:rPr>
                <w:color w:val="000000"/>
                <w:sz w:val="18"/>
              </w:rPr>
              <w:t>3</w:t>
            </w:r>
          </w:p>
        </w:tc>
        <w:tc>
          <w:tcPr>
            <w:tcW w:type="dxa" w:w="2550"/>
            <w:shd w:val="clear" w:color="auto" w:fill="FFFFFF"/>
          </w:tcPr>
          <w:p>
            <w:pPr>
              <w:spacing w:before="40" w:after="40"/>
              <w:jc w:val="left"/>
            </w:pPr>
            <w:r/>
            <w:r>
              <w:rPr>
                <w:color w:val="000000"/>
                <w:sz w:val="18"/>
              </w:rPr>
              <w:t>Storage array</w:t>
            </w:r>
          </w:p>
        </w:tc>
        <w:tc>
          <w:tcPr>
            <w:tcW w:type="dxa" w:w="2550"/>
            <w:shd w:val="clear" w:color="auto" w:fill="FFFFFF"/>
          </w:tcPr>
          <w:p>
            <w:pPr>
              <w:spacing w:before="40" w:after="40"/>
              <w:jc w:val="left"/>
            </w:pPr>
            <w:r/>
            <w:r>
              <w:rPr>
                <w:color w:val="000000"/>
                <w:sz w:val="18"/>
              </w:rPr>
              <w:t>1</w:t>
            </w:r>
          </w:p>
        </w:tc>
        <w:tc>
          <w:tcPr>
            <w:tcW w:type="dxa" w:w="2550"/>
            <w:shd w:val="clear" w:color="auto" w:fill="FFFFFF"/>
          </w:tcPr>
          <w:p>
            <w:pPr>
              <w:spacing w:before="40" w:after="40"/>
              <w:jc w:val="left"/>
            </w:pPr>
            <w:r/>
            <w:r>
              <w:rPr>
                <w:color w:val="000000"/>
                <w:sz w:val="18"/>
              </w:rPr>
              <w:t>Storage</w:t>
            </w:r>
          </w:p>
        </w:tc>
      </w:tr>
      <w:tr>
        <w:tc>
          <w:tcPr>
            <w:tcW w:type="dxa" w:w="2550"/>
            <w:shd w:val="clear" w:color="auto" w:fill="FFFFFF"/>
          </w:tcPr>
          <w:p>
            <w:pPr>
              <w:spacing w:before="40" w:after="40"/>
              <w:jc w:val="left"/>
            </w:pPr>
            <w:r/>
            <w:r>
              <w:rPr>
                <w:color w:val="000000"/>
                <w:sz w:val="18"/>
              </w:rPr>
              <w:t>4</w:t>
            </w:r>
          </w:p>
        </w:tc>
        <w:tc>
          <w:tcPr>
            <w:tcW w:type="dxa" w:w="2550"/>
            <w:shd w:val="clear" w:color="auto" w:fill="FFFFFF"/>
          </w:tcPr>
          <w:p>
            <w:pPr>
              <w:spacing w:before="40" w:after="40"/>
              <w:jc w:val="left"/>
            </w:pPr>
            <w:r/>
            <w:r>
              <w:rPr>
                <w:color w:val="000000"/>
                <w:sz w:val="18"/>
              </w:rPr>
              <w:t>Backup server</w:t>
            </w:r>
          </w:p>
        </w:tc>
        <w:tc>
          <w:tcPr>
            <w:tcW w:type="dxa" w:w="2550"/>
            <w:shd w:val="clear" w:color="auto" w:fill="FFFFFF"/>
          </w:tcPr>
          <w:p>
            <w:pPr>
              <w:spacing w:before="40" w:after="40"/>
              <w:jc w:val="left"/>
            </w:pPr>
            <w:r/>
            <w:r>
              <w:rPr>
                <w:color w:val="000000"/>
                <w:sz w:val="18"/>
              </w:rPr>
              <w:t>1</w:t>
            </w:r>
          </w:p>
        </w:tc>
        <w:tc>
          <w:tcPr>
            <w:tcW w:type="dxa" w:w="2550"/>
            <w:shd w:val="clear" w:color="auto" w:fill="FFFFFF"/>
          </w:tcPr>
          <w:p>
            <w:pPr>
              <w:spacing w:before="40" w:after="40"/>
              <w:jc w:val="left"/>
            </w:pPr>
            <w:r/>
            <w:r>
              <w:rPr>
                <w:color w:val="000000"/>
                <w:sz w:val="18"/>
              </w:rPr>
              <w:t>Compute</w:t>
            </w:r>
          </w:p>
        </w:tc>
      </w:tr>
      <w:tr>
        <w:tc>
          <w:tcPr>
            <w:tcW w:type="dxa" w:w="2550"/>
            <w:shd w:val="clear" w:color="auto" w:fill="FFFFFF"/>
          </w:tcPr>
          <w:p>
            <w:pPr>
              <w:spacing w:before="40" w:after="40"/>
              <w:jc w:val="left"/>
            </w:pPr>
            <w:r/>
            <w:r>
              <w:rPr>
                <w:color w:val="000000"/>
                <w:sz w:val="18"/>
              </w:rPr>
              <w:t>5</w:t>
            </w:r>
          </w:p>
        </w:tc>
        <w:tc>
          <w:tcPr>
            <w:tcW w:type="dxa" w:w="2550"/>
            <w:shd w:val="clear" w:color="auto" w:fill="FFFFFF"/>
          </w:tcPr>
          <w:p>
            <w:pPr>
              <w:spacing w:before="40" w:after="40"/>
              <w:jc w:val="left"/>
            </w:pPr>
            <w:r/>
            <w:r>
              <w:rPr>
                <w:color w:val="000000"/>
                <w:sz w:val="18"/>
              </w:rPr>
              <w:t>Backup software</w:t>
            </w:r>
          </w:p>
        </w:tc>
        <w:tc>
          <w:tcPr>
            <w:tcW w:type="dxa" w:w="2550"/>
            <w:shd w:val="clear" w:color="auto" w:fill="FFFFFF"/>
          </w:tcPr>
          <w:p>
            <w:pPr>
              <w:spacing w:before="40" w:after="40"/>
              <w:jc w:val="left"/>
            </w:pPr>
            <w:r/>
            <w:r>
              <w:rPr>
                <w:color w:val="000000"/>
                <w:sz w:val="18"/>
              </w:rPr>
              <w:t>1</w:t>
            </w:r>
          </w:p>
        </w:tc>
        <w:tc>
          <w:tcPr>
            <w:tcW w:type="dxa" w:w="2550"/>
            <w:shd w:val="clear" w:color="auto" w:fill="FFFFFF"/>
          </w:tcPr>
          <w:p>
            <w:pPr>
              <w:spacing w:before="40" w:after="40"/>
              <w:jc w:val="left"/>
            </w:pPr>
            <w:r/>
            <w:r>
              <w:rPr>
                <w:color w:val="000000"/>
                <w:sz w:val="18"/>
              </w:rPr>
              <w:t>Data protection</w:t>
            </w:r>
          </w:p>
        </w:tc>
      </w:tr>
      <w:tr>
        <w:tc>
          <w:tcPr>
            <w:tcW w:type="dxa" w:w="2550"/>
            <w:shd w:val="clear" w:color="auto" w:fill="FFFFFF"/>
          </w:tcPr>
          <w:p>
            <w:pPr>
              <w:spacing w:before="40" w:after="40"/>
              <w:jc w:val="left"/>
            </w:pPr>
            <w:r/>
            <w:r>
              <w:rPr>
                <w:color w:val="000000"/>
                <w:sz w:val="18"/>
              </w:rPr>
              <w:t>6</w:t>
            </w:r>
          </w:p>
        </w:tc>
        <w:tc>
          <w:tcPr>
            <w:tcW w:type="dxa" w:w="2550"/>
            <w:shd w:val="clear" w:color="auto" w:fill="FFFFFF"/>
          </w:tcPr>
          <w:p>
            <w:pPr>
              <w:spacing w:before="40" w:after="40"/>
              <w:jc w:val="left"/>
            </w:pPr>
            <w:r/>
            <w:r>
              <w:rPr>
                <w:color w:val="000000"/>
                <w:sz w:val="18"/>
              </w:rPr>
              <w:t>Datacenter switches</w:t>
            </w:r>
          </w:p>
        </w:tc>
        <w:tc>
          <w:tcPr>
            <w:tcW w:type="dxa" w:w="2550"/>
            <w:shd w:val="clear" w:color="auto" w:fill="FFFFFF"/>
          </w:tcPr>
          <w:p>
            <w:pPr>
              <w:spacing w:before="40" w:after="40"/>
              <w:jc w:val="left"/>
            </w:pPr>
            <w:r/>
            <w:r>
              <w:rPr>
                <w:color w:val="000000"/>
                <w:sz w:val="18"/>
              </w:rPr>
              <w:t>2</w:t>
            </w:r>
          </w:p>
        </w:tc>
        <w:tc>
          <w:tcPr>
            <w:tcW w:type="dxa" w:w="2550"/>
            <w:shd w:val="clear" w:color="auto" w:fill="FFFFFF"/>
          </w:tcPr>
          <w:p>
            <w:pPr>
              <w:spacing w:before="40" w:after="40"/>
              <w:jc w:val="left"/>
            </w:pPr>
            <w:r/>
            <w:r>
              <w:rPr>
                <w:color w:val="000000"/>
                <w:sz w:val="18"/>
              </w:rPr>
              <w:t>Network</w:t>
            </w:r>
          </w:p>
        </w:tc>
      </w:tr>
      <w:tr>
        <w:tc>
          <w:tcPr>
            <w:tcW w:type="dxa" w:w="2550"/>
            <w:shd w:val="clear" w:color="auto" w:fill="FFFFFF"/>
          </w:tcPr>
          <w:p>
            <w:pPr>
              <w:spacing w:before="40" w:after="40"/>
              <w:jc w:val="left"/>
            </w:pPr>
            <w:r/>
            <w:r>
              <w:rPr>
                <w:color w:val="000000"/>
                <w:sz w:val="18"/>
              </w:rPr>
              <w:t>7</w:t>
            </w:r>
          </w:p>
        </w:tc>
        <w:tc>
          <w:tcPr>
            <w:tcW w:type="dxa" w:w="2550"/>
            <w:shd w:val="clear" w:color="auto" w:fill="FFFFFF"/>
          </w:tcPr>
          <w:p>
            <w:pPr>
              <w:spacing w:before="40" w:after="40"/>
              <w:jc w:val="left"/>
            </w:pPr>
            <w:r/>
            <w:r>
              <w:rPr>
                <w:color w:val="000000"/>
                <w:sz w:val="18"/>
              </w:rPr>
              <w:t>Firewall appliances</w:t>
            </w:r>
          </w:p>
        </w:tc>
        <w:tc>
          <w:tcPr>
            <w:tcW w:type="dxa" w:w="2550"/>
            <w:shd w:val="clear" w:color="auto" w:fill="FFFFFF"/>
          </w:tcPr>
          <w:p>
            <w:pPr>
              <w:spacing w:before="40" w:after="40"/>
              <w:jc w:val="left"/>
            </w:pPr>
            <w:r/>
            <w:r>
              <w:rPr>
                <w:color w:val="000000"/>
                <w:sz w:val="18"/>
              </w:rPr>
              <w:t>2</w:t>
            </w:r>
          </w:p>
        </w:tc>
        <w:tc>
          <w:tcPr>
            <w:tcW w:type="dxa" w:w="2550"/>
            <w:shd w:val="clear" w:color="auto" w:fill="FFFFFF"/>
          </w:tcPr>
          <w:p>
            <w:pPr>
              <w:spacing w:before="40" w:after="40"/>
              <w:jc w:val="left"/>
            </w:pPr>
            <w:r/>
            <w:r>
              <w:rPr>
                <w:color w:val="000000"/>
                <w:sz w:val="18"/>
              </w:rPr>
              <w:t>Security</w:t>
            </w:r>
          </w:p>
        </w:tc>
      </w:tr>
      <w:tr>
        <w:tc>
          <w:tcPr>
            <w:tcW w:type="dxa" w:w="2550"/>
            <w:shd w:val="clear" w:color="auto" w:fill="FFFFFF"/>
          </w:tcPr>
          <w:p>
            <w:pPr>
              <w:spacing w:before="40" w:after="40"/>
              <w:jc w:val="left"/>
            </w:pPr>
            <w:r/>
            <w:r>
              <w:rPr>
                <w:color w:val="000000"/>
                <w:sz w:val="18"/>
              </w:rPr>
              <w:t>8</w:t>
            </w:r>
          </w:p>
        </w:tc>
        <w:tc>
          <w:tcPr>
            <w:tcW w:type="dxa" w:w="2550"/>
            <w:shd w:val="clear" w:color="auto" w:fill="FFFFFF"/>
          </w:tcPr>
          <w:p>
            <w:pPr>
              <w:spacing w:before="40" w:after="40"/>
              <w:jc w:val="left"/>
            </w:pPr>
            <w:r/>
            <w:r>
              <w:rPr>
                <w:color w:val="000000"/>
                <w:sz w:val="18"/>
              </w:rPr>
              <w:t>Rack cabinet 42U</w:t>
            </w:r>
          </w:p>
        </w:tc>
        <w:tc>
          <w:tcPr>
            <w:tcW w:type="dxa" w:w="2550"/>
            <w:shd w:val="clear" w:color="auto" w:fill="FFFFFF"/>
          </w:tcPr>
          <w:p>
            <w:pPr>
              <w:spacing w:before="40" w:after="40"/>
              <w:jc w:val="left"/>
            </w:pPr>
            <w:r/>
            <w:r>
              <w:rPr>
                <w:color w:val="000000"/>
                <w:sz w:val="18"/>
              </w:rPr>
              <w:t>1</w:t>
            </w:r>
          </w:p>
        </w:tc>
        <w:tc>
          <w:tcPr>
            <w:tcW w:type="dxa" w:w="2550"/>
            <w:shd w:val="clear" w:color="auto" w:fill="FFFFFF"/>
          </w:tcPr>
          <w:p>
            <w:pPr>
              <w:spacing w:before="40" w:after="40"/>
              <w:jc w:val="left"/>
            </w:pPr>
            <w:r/>
            <w:r>
              <w:rPr>
                <w:color w:val="000000"/>
                <w:sz w:val="18"/>
              </w:rPr>
              <w:t>Infrastructure</w:t>
            </w:r>
          </w:p>
        </w:tc>
      </w:tr>
    </w:tbl>
    <w:p/>
    <w:p>
      <w:pPr>
        <w:spacing w:before="40" w:after="40"/>
      </w:pPr>
      <w:r>
        <w:rPr>
          <w:b/>
          <w:color w:val="404040"/>
          <w:sz w:val="20"/>
        </w:rPr>
        <w:t>Included services:</w:t>
      </w:r>
    </w:p>
    <w:p>
      <w:pPr>
        <w:pStyle w:val="ListParagraph"/>
        <w:spacing w:before="20" w:after="20"/>
      </w:pPr>
      <w:r>
        <w:rPr>
          <w:color w:val="404040"/>
          <w:sz w:val="20"/>
        </w:rPr>
        <w:t>Installation, configuration, and live VM migration from VMware vSphere 8</w:t>
      </w:r>
    </w:p>
    <w:p>
      <w:pPr>
        <w:pStyle w:val="ListParagraph"/>
        <w:spacing w:before="20" w:after="20"/>
      </w:pPr>
      <w:r>
        <w:rPr>
          <w:color w:val="404040"/>
          <w:sz w:val="20"/>
        </w:rPr>
        <w:t>Two certifying trainings (5 days, 6 staff each) in an accredited center</w:t>
      </w:r>
    </w:p>
    <w:p>
      <w:pPr>
        <w:pStyle w:val="ListParagraph"/>
        <w:spacing w:before="20" w:after="20"/>
      </w:pPr>
      <w:r>
        <w:rPr>
          <w:color w:val="404040"/>
          <w:sz w:val="20"/>
        </w:rPr>
        <w:t>Complete documentation (French or English), knowledge transfer</w:t>
      </w:r>
    </w:p>
    <w:p>
      <w:pPr>
        <w:pStyle w:val="ListParagraph"/>
        <w:spacing w:before="20" w:after="20"/>
      </w:pPr>
      <w:r>
        <w:rPr>
          <w:color w:val="404040"/>
          <w:sz w:val="20"/>
        </w:rPr>
        <w:t>2-year 24/7 manufacturer support, updates included</w:t>
      </w:r>
    </w:p>
    <w:p/>
    <w:p>
      <w:pPr>
        <w:spacing w:before="120" w:after="60"/>
      </w:pPr>
      <w:r>
        <w:rPr>
          <w:b/>
          <w:color w:val="1F3864"/>
          <w:sz w:val="26"/>
        </w:rPr>
        <w:t>2. Qualification Requirements</w:t>
      </w:r>
    </w:p>
    <w:p>
      <w:pPr>
        <w:spacing w:before="40" w:after="80"/>
      </w:pPr>
      <w:r>
        <w:rPr>
          <w:b w:val="0"/>
          <w:color w:val="404040"/>
          <w:sz w:val="20"/>
        </w:rPr>
        <w:t>Conditions a bidder must satisfy to be eligible. Failure on any line results in automatic disqualification.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tblHeader/>
        </w:trPr>
        <w:tc>
          <w:tcPr>
            <w:tcW w:type="dxa" w:w="5100"/>
            <w:shd w:val="clear" w:color="auto" w:fill="1F3864"/>
          </w:tcPr>
          <w:p>
            <w:pPr>
              <w:spacing w:before="40" w:after="40"/>
              <w:jc w:val="left"/>
            </w:pPr>
            <w:r/>
            <w:r>
              <w:rPr>
                <w:b/>
                <w:color w:val="1F3864"/>
                <w:sz w:val="18"/>
              </w:rPr>
              <w:t>Category</w:t>
            </w:r>
          </w:p>
        </w:tc>
        <w:tc>
          <w:tcPr>
            <w:tcW w:type="dxa" w:w="5100"/>
            <w:shd w:val="clear" w:color="auto" w:fill="1F3864"/>
          </w:tcPr>
          <w:p>
            <w:pPr>
              <w:spacing w:before="40" w:after="40"/>
              <w:jc w:val="left"/>
            </w:pPr>
            <w:r/>
            <w:r>
              <w:rPr>
                <w:b/>
                <w:color w:val="1F3864"/>
                <w:sz w:val="18"/>
              </w:rPr>
              <w:t>Requirement</w:t>
            </w:r>
          </w:p>
        </w:tc>
      </w:tr>
      <w:tr>
        <w:tc>
          <w:tcPr>
            <w:tcW w:type="dxa" w:w="5100"/>
            <w:shd w:val="clear" w:color="auto" w:fill="FFFFFF"/>
          </w:tcPr>
          <w:p>
            <w:pPr>
              <w:spacing w:before="40" w:after="40"/>
              <w:jc w:val="left"/>
            </w:pPr>
            <w:r/>
            <w:r>
              <w:rPr>
                <w:color w:val="000000"/>
                <w:sz w:val="18"/>
              </w:rPr>
              <w:t>Legal / administrative</w:t>
            </w:r>
          </w:p>
        </w:tc>
        <w:tc>
          <w:tcPr>
            <w:tcW w:type="dxa" w:w="5100"/>
            <w:shd w:val="clear" w:color="auto" w:fill="FFFFFF"/>
          </w:tcPr>
          <w:p>
            <w:pPr>
              <w:spacing w:before="40" w:after="40"/>
              <w:jc w:val="left"/>
            </w:pPr>
            <w:r/>
            <w:r>
              <w:rPr>
                <w:color w:val="000000"/>
                <w:sz w:val="18"/>
              </w:rPr>
              <w:t>Tunisian registration; TUNEPS registration; tax and social security clearance certificates</w:t>
            </w:r>
          </w:p>
        </w:tc>
      </w:tr>
      <w:tr>
        <w:tc>
          <w:tcPr>
            <w:tcW w:type="dxa" w:w="5100"/>
            <w:shd w:val="clear" w:color="auto" w:fill="FFFFFF"/>
          </w:tcPr>
          <w:p>
            <w:pPr>
              <w:spacing w:before="40" w:after="40"/>
              <w:jc w:val="left"/>
            </w:pPr>
            <w:r/>
            <w:r>
              <w:rPr>
                <w:color w:val="000000"/>
                <w:sz w:val="18"/>
              </w:rPr>
              <w:t>Defence sector screening</w:t>
            </w:r>
          </w:p>
        </w:tc>
        <w:tc>
          <w:tcPr>
            <w:tcW w:type="dxa" w:w="5100"/>
            <w:shd w:val="clear" w:color="auto" w:fill="FFFFFF"/>
          </w:tcPr>
          <w:p>
            <w:pPr>
              <w:spacing w:before="40" w:after="40"/>
              <w:jc w:val="left"/>
            </w:pPr>
            <w:r/>
            <w:r>
              <w:rPr>
                <w:color w:val="000000"/>
                <w:sz w:val="18"/>
              </w:rPr>
              <w:t>National security screening for company and key personnel; nationality restrictions apply</w:t>
            </w:r>
          </w:p>
        </w:tc>
      </w:tr>
      <w:tr>
        <w:tc>
          <w:tcPr>
            <w:tcW w:type="dxa" w:w="5100"/>
            <w:shd w:val="clear" w:color="auto" w:fill="FFFFFF"/>
          </w:tcPr>
          <w:p>
            <w:pPr>
              <w:spacing w:before="40" w:after="40"/>
              <w:jc w:val="left"/>
            </w:pPr>
            <w:r/>
            <w:r>
              <w:rPr>
                <w:color w:val="000000"/>
                <w:sz w:val="18"/>
              </w:rPr>
              <w:t>Manufacturer authorisation</w:t>
            </w:r>
          </w:p>
        </w:tc>
        <w:tc>
          <w:tcPr>
            <w:tcW w:type="dxa" w:w="5100"/>
            <w:shd w:val="clear" w:color="auto" w:fill="FFFFFF"/>
          </w:tcPr>
          <w:p>
            <w:pPr>
              <w:spacing w:before="40" w:after="40"/>
              <w:jc w:val="left"/>
            </w:pPr>
            <w:r/>
            <w:r>
              <w:rPr>
                <w:color w:val="000000"/>
                <w:sz w:val="18"/>
              </w:rPr>
              <w:t>MAF letter required for servers, storage array, and backup server</w:t>
            </w:r>
          </w:p>
        </w:tc>
      </w:tr>
      <w:tr>
        <w:tc>
          <w:tcPr>
            <w:tcW w:type="dxa" w:w="5100"/>
            <w:shd w:val="clear" w:color="auto" w:fill="FFFFFF"/>
          </w:tcPr>
          <w:p>
            <w:pPr>
              <w:spacing w:before="40" w:after="40"/>
              <w:jc w:val="left"/>
            </w:pPr>
            <w:r/>
            <w:r>
              <w:rPr>
                <w:color w:val="000000"/>
                <w:sz w:val="18"/>
              </w:rPr>
              <w:t>Brand constraint</w:t>
            </w:r>
          </w:p>
        </w:tc>
        <w:tc>
          <w:tcPr>
            <w:tcW w:type="dxa" w:w="5100"/>
            <w:shd w:val="clear" w:color="auto" w:fill="FFFFFF"/>
          </w:tcPr>
          <w:p>
            <w:pPr>
              <w:spacing w:before="40" w:after="40"/>
              <w:jc w:val="left"/>
            </w:pPr>
            <w:r/>
            <w:r>
              <w:rPr>
                <w:color w:val="000000"/>
                <w:sz w:val="18"/>
              </w:rPr>
              <w:t>Servers (Lot 1), storage array (Lot 3), and backup server (Lot 4) must be from the same manufacturer</w:t>
            </w:r>
          </w:p>
        </w:tc>
      </w:tr>
      <w:tr>
        <w:tc>
          <w:tcPr>
            <w:tcW w:type="dxa" w:w="5100"/>
            <w:shd w:val="clear" w:color="auto" w:fill="FFFFFF"/>
          </w:tcPr>
          <w:p>
            <w:pPr>
              <w:spacing w:before="40" w:after="40"/>
              <w:jc w:val="left"/>
            </w:pPr>
            <w:r/>
            <w:r>
              <w:rPr>
                <w:color w:val="000000"/>
                <w:sz w:val="18"/>
              </w:rPr>
              <w:t>Firewall (Gartner MQ)</w:t>
            </w:r>
          </w:p>
        </w:tc>
        <w:tc>
          <w:tcPr>
            <w:tcW w:type="dxa" w:w="5100"/>
            <w:shd w:val="clear" w:color="auto" w:fill="FFFFFF"/>
          </w:tcPr>
          <w:p>
            <w:pPr>
              <w:spacing w:before="40" w:after="40"/>
              <w:jc w:val="left"/>
            </w:pPr>
            <w:r/>
            <w:r>
              <w:rPr>
                <w:color w:val="000000"/>
                <w:sz w:val="18"/>
              </w:rPr>
              <w:t>Vendor must appear in the latest Gartner Magic Quadrant for Network Firewalls</w:t>
            </w:r>
          </w:p>
        </w:tc>
      </w:tr>
      <w:tr>
        <w:tc>
          <w:tcPr>
            <w:tcW w:type="dxa" w:w="5100"/>
            <w:shd w:val="clear" w:color="auto" w:fill="FFFFFF"/>
          </w:tcPr>
          <w:p>
            <w:pPr>
              <w:spacing w:before="40" w:after="40"/>
              <w:jc w:val="left"/>
            </w:pPr>
            <w:r/>
            <w:r>
              <w:rPr>
                <w:color w:val="000000"/>
                <w:sz w:val="18"/>
              </w:rPr>
              <w:t>Product certifications</w:t>
            </w:r>
          </w:p>
        </w:tc>
        <w:tc>
          <w:tcPr>
            <w:tcW w:type="dxa" w:w="5100"/>
            <w:shd w:val="clear" w:color="auto" w:fill="FFFFFF"/>
          </w:tcPr>
          <w:p>
            <w:pPr>
              <w:spacing w:before="40" w:after="40"/>
              <w:jc w:val="left"/>
            </w:pPr>
            <w:r/>
            <w:r>
              <w:rPr>
                <w:color w:val="000000"/>
                <w:sz w:val="18"/>
              </w:rPr>
              <w:t>ISO 9001:2015 and EN 62368/55032/55035 on servers, storage, switches, firewall; EAL 4+ or ICSA Labs for firewall</w:t>
            </w:r>
          </w:p>
        </w:tc>
      </w:tr>
      <w:tr>
        <w:tc>
          <w:tcPr>
            <w:tcW w:type="dxa" w:w="5100"/>
            <w:shd w:val="clear" w:color="auto" w:fill="FFFFFF"/>
          </w:tcPr>
          <w:p>
            <w:pPr>
              <w:spacing w:before="40" w:after="40"/>
              <w:jc w:val="left"/>
            </w:pPr>
            <w:r/>
            <w:r>
              <w:rPr>
                <w:color w:val="000000"/>
                <w:sz w:val="18"/>
              </w:rPr>
              <w:t>Training capability</w:t>
            </w:r>
          </w:p>
        </w:tc>
        <w:tc>
          <w:tcPr>
            <w:tcW w:type="dxa" w:w="5100"/>
            <w:shd w:val="clear" w:color="auto" w:fill="FFFFFF"/>
          </w:tcPr>
          <w:p>
            <w:pPr>
              <w:spacing w:before="40" w:after="40"/>
              <w:jc w:val="left"/>
            </w:pPr>
            <w:r/>
            <w:r>
              <w:rPr>
                <w:color w:val="000000"/>
                <w:sz w:val="18"/>
              </w:rPr>
              <w:t>Accredited training centre; certified trainers (CVs submitted with bid)</w:t>
            </w:r>
          </w:p>
        </w:tc>
      </w:tr>
      <w:tr>
        <w:tc>
          <w:tcPr>
            <w:tcW w:type="dxa" w:w="5100"/>
            <w:shd w:val="clear" w:color="auto" w:fill="FFFFFF"/>
          </w:tcPr>
          <w:p>
            <w:pPr>
              <w:spacing w:before="40" w:after="40"/>
              <w:jc w:val="left"/>
            </w:pPr>
            <w:r/>
            <w:r>
              <w:rPr>
                <w:color w:val="000000"/>
                <w:sz w:val="18"/>
              </w:rPr>
              <w:t>Financial guarantees</w:t>
            </w:r>
          </w:p>
        </w:tc>
        <w:tc>
          <w:tcPr>
            <w:tcW w:type="dxa" w:w="5100"/>
            <w:shd w:val="clear" w:color="auto" w:fill="FFFFFF"/>
          </w:tcPr>
          <w:p>
            <w:pPr>
              <w:spacing w:before="40" w:after="40"/>
              <w:jc w:val="left"/>
            </w:pPr>
            <w:r/>
            <w:r>
              <w:rPr>
                <w:color w:val="000000"/>
                <w:sz w:val="18"/>
              </w:rPr>
              <w:t>5,000 TND provisional deposit; 3% final guarantee; 5% retention; bid validity 120 days</w:t>
            </w:r>
          </w:p>
        </w:tc>
      </w:tr>
    </w:tbl>
    <w:p/>
    <w:p>
      <w:pPr>
        <w:spacing w:before="120" w:after="60"/>
      </w:pPr>
      <w:r>
        <w:rPr>
          <w:b/>
          <w:color w:val="1F3864"/>
          <w:sz w:val="26"/>
        </w:rPr>
        <w:t>3. Technical Demand Summary</w:t>
      </w:r>
    </w:p>
    <w:p>
      <w:pPr>
        <w:spacing w:before="40" w:after="80"/>
      </w:pPr>
      <w:r>
        <w:rPr>
          <w:b w:val="0"/>
          <w:color w:val="404040"/>
          <w:sz w:val="20"/>
        </w:rPr>
        <w:t>What the CCTP asks for, item by item. This is a factual summary — no vendor, SKU, or product family is recommended.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tblHeader/>
        </w:trPr>
        <w:tc>
          <w:tcPr>
            <w:tcW w:type="dxa" w:w="5100"/>
            <w:shd w:val="clear" w:color="auto" w:fill="1F3864"/>
          </w:tcPr>
          <w:p>
            <w:pPr>
              <w:spacing w:before="40" w:after="40"/>
              <w:jc w:val="left"/>
            </w:pPr>
            <w:r/>
            <w:r>
              <w:rPr>
                <w:b/>
                <w:color w:val="1F3864"/>
                <w:sz w:val="18"/>
              </w:rPr>
              <w:t>Item</w:t>
            </w:r>
          </w:p>
        </w:tc>
        <w:tc>
          <w:tcPr>
            <w:tcW w:type="dxa" w:w="5100"/>
            <w:shd w:val="clear" w:color="auto" w:fill="1F3864"/>
          </w:tcPr>
          <w:p>
            <w:pPr>
              <w:spacing w:before="40" w:after="40"/>
              <w:jc w:val="left"/>
            </w:pPr>
            <w:r/>
            <w:r>
              <w:rPr>
                <w:b/>
                <w:color w:val="1F3864"/>
                <w:sz w:val="18"/>
              </w:rPr>
              <w:t>Key Technical Demands</w:t>
            </w:r>
          </w:p>
        </w:tc>
      </w:tr>
      <w:tr>
        <w:tc>
          <w:tcPr>
            <w:tcW w:type="dxa" w:w="5100"/>
            <w:shd w:val="clear" w:color="auto" w:fill="FFFFFF"/>
          </w:tcPr>
          <w:p>
            <w:pPr>
              <w:spacing w:before="40" w:after="40"/>
              <w:jc w:val="left"/>
            </w:pPr>
            <w:r/>
            <w:r>
              <w:rPr>
                <w:color w:val="000000"/>
                <w:sz w:val="18"/>
              </w:rPr>
              <w:t>Virtualization servers (×3)</w:t>
            </w:r>
          </w:p>
        </w:tc>
        <w:tc>
          <w:tcPr>
            <w:tcW w:type="dxa" w:w="5100"/>
            <w:shd w:val="clear" w:color="auto" w:fill="FFFFFF"/>
          </w:tcPr>
          <w:p>
            <w:pPr>
              <w:spacing w:before="40" w:after="40"/>
              <w:jc w:val="left"/>
            </w:pPr>
            <w:r/>
            <w:r>
              <w:rPr>
                <w:color w:val="000000"/>
                <w:sz w:val="18"/>
              </w:rPr>
              <w:t>2U rack, latest generation; 2×16-core @ 2.4 GHz, 72 MB cache, 64-bit, VT, HT; 512 GB DDR5 RDIMM 6400 MT/s (extensible to 1 TB); 32 DIMM slots; 2×480 GB SSD PCIe OS; 8×2.5" chassis; hardware RAID 0/1/5/6/10, 8 GB non-volatile cache; 6× PCIe 4.0 slots; 4×1GbE + 4×10/25GbE; 2×hot-plug redundant PSU; IPMI; USB disable; intrusion detection; OS: Windows 2022 Hyper-V, VMware ESXi, Red Hat Virtualisation, Proxmox VE 8/9; ISO 9001:2015; 2-year 24/7 manufacturer support</w:t>
            </w:r>
          </w:p>
        </w:tc>
      </w:tr>
      <w:tr>
        <w:tc>
          <w:tcPr>
            <w:tcW w:type="dxa" w:w="5100"/>
            <w:shd w:val="clear" w:color="auto" w:fill="FFFFFF"/>
          </w:tcPr>
          <w:p>
            <w:pPr>
              <w:spacing w:before="40" w:after="40"/>
              <w:jc w:val="left"/>
            </w:pPr>
            <w:r/>
            <w:r>
              <w:rPr>
                <w:color w:val="000000"/>
                <w:sz w:val="18"/>
              </w:rPr>
              <w:t>Virtualization software</w:t>
            </w:r>
          </w:p>
        </w:tc>
        <w:tc>
          <w:tcPr>
            <w:tcW w:type="dxa" w:w="5100"/>
            <w:shd w:val="clear" w:color="auto" w:fill="FFFFFF"/>
          </w:tcPr>
          <w:p>
            <w:pPr>
              <w:spacing w:before="40" w:after="40"/>
              <w:jc w:val="left"/>
            </w:pPr>
            <w:r/>
            <w:r>
              <w:rPr>
                <w:color w:val="000000"/>
                <w:sz w:val="18"/>
              </w:rPr>
              <w:t>Bare-metal hypervisor; 3-node HA cluster (automatic VM restart); per-host/processor licensing (unlimited VMs); live migration, snapshots, dynamic resource balancing; boot on SAN (iSCSI/NFS); deduplication-aware storage; mandatory live migration from VMware vSphere 8; centralised web admin console; 2-year editor support included</w:t>
            </w:r>
          </w:p>
        </w:tc>
      </w:tr>
      <w:tr>
        <w:tc>
          <w:tcPr>
            <w:tcW w:type="dxa" w:w="5100"/>
            <w:shd w:val="clear" w:color="auto" w:fill="FFFFFF"/>
          </w:tcPr>
          <w:p>
            <w:pPr>
              <w:spacing w:before="40" w:after="40"/>
              <w:jc w:val="left"/>
            </w:pPr>
            <w:r/>
            <w:r>
              <w:rPr>
                <w:color w:val="000000"/>
                <w:sz w:val="18"/>
              </w:rPr>
              <w:t>Storage array</w:t>
            </w:r>
          </w:p>
        </w:tc>
        <w:tc>
          <w:tcPr>
            <w:tcW w:type="dxa" w:w="5100"/>
            <w:shd w:val="clear" w:color="auto" w:fill="FFFFFF"/>
          </w:tcPr>
          <w:p>
            <w:pPr>
              <w:spacing w:before="40" w:after="40"/>
              <w:jc w:val="left"/>
            </w:pPr>
            <w:r/>
            <w:r>
              <w:rPr>
                <w:color w:val="000000"/>
                <w:sz w:val="18"/>
              </w:rPr>
              <w:t>Same brand as Lot 1; max 2U; dual active/active controllers (2×10-core CPU); 128 GB cache; iSCSI, FC, CIFS, NFS, FTP, HTTP, SMB; 4×2 TB NVMe + 2×480 GB NVMe OS (RAID1); min 20 hot-swap disks; RAID 0/1/5/6/10 (active: RAID 5); thin provisioning, deduplication, compression, 1000+ snapshots, auto-tiering, sync/async replication; battery backup (autonomy: non-disclosed); SNMP v3; same MAF required</w:t>
            </w:r>
          </w:p>
        </w:tc>
      </w:tr>
      <w:tr>
        <w:tc>
          <w:tcPr>
            <w:tcW w:type="dxa" w:w="5100"/>
            <w:shd w:val="clear" w:color="auto" w:fill="FFFFFF"/>
          </w:tcPr>
          <w:p>
            <w:pPr>
              <w:spacing w:before="40" w:after="40"/>
              <w:jc w:val="left"/>
            </w:pPr>
            <w:r/>
            <w:r>
              <w:rPr>
                <w:color w:val="000000"/>
                <w:sz w:val="18"/>
              </w:rPr>
              <w:t>Backup server</w:t>
            </w:r>
          </w:p>
        </w:tc>
        <w:tc>
          <w:tcPr>
            <w:tcW w:type="dxa" w:w="5100"/>
            <w:shd w:val="clear" w:color="auto" w:fill="FFFFFF"/>
          </w:tcPr>
          <w:p>
            <w:pPr>
              <w:spacing w:before="40" w:after="40"/>
              <w:jc w:val="left"/>
            </w:pPr>
            <w:r/>
            <w:r>
              <w:rPr>
                <w:color w:val="000000"/>
                <w:sz w:val="18"/>
              </w:rPr>
              <w:t>Same brand as Lot 1; 2U rack; 1×16-core @ 2.4 GHz; 128 GB DDR5; 4×8 TB HDD (8×2.5" chassis); 4×1GbE + 4×10/25GbE SFP+; OS: Windows 2019/2022/2025, VMware vSphere 7/8, Red Hat, Ubuntu; 2-year manufacturer support</w:t>
            </w:r>
          </w:p>
        </w:tc>
      </w:tr>
      <w:tr>
        <w:tc>
          <w:tcPr>
            <w:tcW w:type="dxa" w:w="5100"/>
            <w:shd w:val="clear" w:color="auto" w:fill="FFFFFF"/>
          </w:tcPr>
          <w:p>
            <w:pPr>
              <w:spacing w:before="40" w:after="40"/>
              <w:jc w:val="left"/>
            </w:pPr>
            <w:r/>
            <w:r>
              <w:rPr>
                <w:color w:val="000000"/>
                <w:sz w:val="18"/>
              </w:rPr>
              <w:t>Backup software</w:t>
            </w:r>
          </w:p>
        </w:tc>
        <w:tc>
          <w:tcPr>
            <w:tcW w:type="dxa" w:w="5100"/>
            <w:shd w:val="clear" w:color="auto" w:fill="FFFFFF"/>
          </w:tcPr>
          <w:p>
            <w:pPr>
              <w:spacing w:before="40" w:after="40"/>
              <w:jc w:val="left"/>
            </w:pPr>
            <w:r/>
            <w:r>
              <w:rPr>
                <w:color w:val="000000"/>
                <w:sz w:val="18"/>
              </w:rPr>
              <w:t>Subscription for 15 VMs (2 years), agentless mandatory; image-based, SAN/LAN, hot VM backup; local + WAN deduplication; end-to-end encryption; full VM, per-VM file, individual object, app-aware restore (Oracle, MS SQL); self-service restore portal; image replication with auto-failover; real-time dashboard; native tape/LTO support; 2-year support</w:t>
            </w:r>
          </w:p>
        </w:tc>
      </w:tr>
      <w:tr>
        <w:tc>
          <w:tcPr>
            <w:tcW w:type="dxa" w:w="5100"/>
            <w:shd w:val="clear" w:color="auto" w:fill="FFFFFF"/>
          </w:tcPr>
          <w:p>
            <w:pPr>
              <w:spacing w:before="40" w:after="40"/>
              <w:jc w:val="left"/>
            </w:pPr>
            <w:r/>
            <w:r>
              <w:rPr>
                <w:color w:val="000000"/>
                <w:sz w:val="18"/>
              </w:rPr>
              <w:t>Datacenter switches (×2)</w:t>
            </w:r>
          </w:p>
        </w:tc>
        <w:tc>
          <w:tcPr>
            <w:tcW w:type="dxa" w:w="5100"/>
            <w:shd w:val="clear" w:color="auto" w:fill="FFFFFF"/>
          </w:tcPr>
          <w:p>
            <w:pPr>
              <w:spacing w:before="40" w:after="40"/>
              <w:jc w:val="left"/>
            </w:pPr>
            <w:r/>
            <w:r>
              <w:rPr>
                <w:color w:val="000000"/>
                <w:sz w:val="18"/>
              </w:rPr>
              <w:t>L3 Top-of-Rack, 19" rack-mount; 600 Gbps switching capacity; 650 Mpps IPv4 throughput; 4 GB RAM; 4000 VLANs; 64,000 MAC addresses; 16×1GbE PoE + 4×10GbE SFP+ (optical modules included); VLAN static/dynamic, LACP, LLDP; 8 queues/port, DSCP/CoS; 802.1X, MAB, DHCP snooping, ARP inspection, anti-spoofing; SSHv2, SNMP v2/v3, syslog, port mirroring; IEEE 802.1x/w/s/D/p/Q, 802.3x/ad/z; 2-year warranty + licences</w:t>
            </w:r>
          </w:p>
        </w:tc>
      </w:tr>
      <w:tr>
        <w:tc>
          <w:tcPr>
            <w:tcW w:type="dxa" w:w="5100"/>
            <w:shd w:val="clear" w:color="auto" w:fill="FFFFFF"/>
          </w:tcPr>
          <w:p>
            <w:pPr>
              <w:spacing w:before="40" w:after="40"/>
              <w:jc w:val="left"/>
            </w:pPr>
            <w:r/>
            <w:r>
              <w:rPr>
                <w:color w:val="000000"/>
                <w:sz w:val="18"/>
              </w:rPr>
              <w:t>Firewall (×2)</w:t>
            </w:r>
          </w:p>
        </w:tc>
        <w:tc>
          <w:tcPr>
            <w:tcW w:type="dxa" w:w="5100"/>
            <w:shd w:val="clear" w:color="auto" w:fill="FFFFFF"/>
          </w:tcPr>
          <w:p>
            <w:pPr>
              <w:spacing w:before="40" w:after="40"/>
              <w:jc w:val="left"/>
            </w:pPr>
            <w:r/>
            <w:r>
              <w:rPr>
                <w:color w:val="000000"/>
                <w:sz w:val="18"/>
              </w:rPr>
              <w:t>Listed in latest Gartner Magic Quadrant for Network Firewalls; 5 Gbps firewall throughput; 4 Gbps IPSec VPN; 1 Gbps threat prevention; 1.2 Gbps SSL inspection; 700,000 TCP concurrent sessions; 80,000 new sessions/s; 5×GE RJ45 + console + USB; App-ID, IPS, AV, sandboxing, web/DNS filtering; IPSec (200 site-to-site) + SSL (200 client-to-site); AES-128/256; LDAP/LDAPS, RADIUS, PKI; zone-based rules by IP, service, user, schedule; active/active + active/passive HA with state sync; graphical monitoring, SIEM integration; ISO 9001:2015, EAL4+ or ICSA Labs; 2-year licences</w:t>
            </w:r>
          </w:p>
        </w:tc>
      </w:tr>
      <w:tr>
        <w:tc>
          <w:tcPr>
            <w:tcW w:type="dxa" w:w="5100"/>
            <w:shd w:val="clear" w:color="auto" w:fill="FFFFFF"/>
          </w:tcPr>
          <w:p>
            <w:pPr>
              <w:spacing w:before="40" w:after="40"/>
              <w:jc w:val="left"/>
            </w:pPr>
            <w:r/>
            <w:r>
              <w:rPr>
                <w:color w:val="000000"/>
                <w:sz w:val="18"/>
              </w:rPr>
              <w:t>Rack cabinet</w:t>
            </w:r>
          </w:p>
        </w:tc>
        <w:tc>
          <w:tcPr>
            <w:tcW w:type="dxa" w:w="5100"/>
            <w:shd w:val="clear" w:color="auto" w:fill="FFFFFF"/>
          </w:tcPr>
          <w:p>
            <w:pPr>
              <w:spacing w:before="40" w:after="40"/>
              <w:jc w:val="left"/>
            </w:pPr>
            <w:r/>
            <w:r>
              <w:rPr>
                <w:color w:val="000000"/>
                <w:sz w:val="18"/>
              </w:rPr>
              <w:t>42U, 19"; reinforced steel; static load ≥1000 kg, dynamic ≥600 kg; 4 adjustable rails with visible U numbering; perforated steel doors with locks; removable lockable panels; front-to-back cooling, 4 integrated fans, hot/cold aisle compatible; 2× intelligent vertical PDU, A/B redundancy; rated up to 45°C; 2-year warranty</w:t>
            </w:r>
          </w:p>
        </w:tc>
      </w:tr>
    </w:tbl>
    <w:p/>
    <w:p>
      <w:pPr>
        <w:spacing w:before="120" w:after="60"/>
      </w:pPr>
      <w:r>
        <w:rPr>
          <w:b/>
          <w:color w:val="1F3864"/>
          <w:sz w:val="26"/>
        </w:rPr>
        <w:t>4. Main Technical Risks</w:t>
      </w:r>
    </w:p>
    <w:p>
      <w:pPr>
        <w:spacing w:before="40" w:after="80"/>
      </w:pPr>
      <w:r>
        <w:rPr>
          <w:b w:val="0"/>
          <w:color w:val="404040"/>
          <w:sz w:val="20"/>
        </w:rPr>
        <w:t>Principal technical execution risks extracted from the CCTP. Contractual and financial risks (penalties, payment terms, guarantees) are excluded as they belong to the CCAP.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rPr>
          <w:tblHeader/>
        </w:trPr>
        <w:tc>
          <w:tcPr>
            <w:tcW w:type="dxa" w:w="3400"/>
            <w:shd w:val="clear" w:color="auto" w:fill="1F3864"/>
          </w:tcPr>
          <w:p>
            <w:pPr>
              <w:spacing w:before="40" w:after="40"/>
              <w:jc w:val="left"/>
            </w:pPr>
            <w:r/>
            <w:r>
              <w:rPr>
                <w:b/>
                <w:color w:val="1F3864"/>
                <w:sz w:val="18"/>
              </w:rPr>
              <w:t>Risk</w:t>
            </w:r>
          </w:p>
        </w:tc>
        <w:tc>
          <w:tcPr>
            <w:tcW w:type="dxa" w:w="3400"/>
            <w:shd w:val="clear" w:color="auto" w:fill="1F3864"/>
          </w:tcPr>
          <w:p>
            <w:pPr>
              <w:spacing w:before="40" w:after="40"/>
              <w:jc w:val="left"/>
            </w:pPr>
            <w:r/>
            <w:r>
              <w:rPr>
                <w:b/>
                <w:color w:val="1F3864"/>
                <w:sz w:val="18"/>
              </w:rPr>
              <w:t>CCTP Source</w:t>
            </w:r>
          </w:p>
        </w:tc>
        <w:tc>
          <w:tcPr>
            <w:tcW w:type="dxa" w:w="3400"/>
            <w:shd w:val="clear" w:color="auto" w:fill="1F3864"/>
          </w:tcPr>
          <w:p>
            <w:pPr>
              <w:spacing w:before="40" w:after="40"/>
              <w:jc w:val="left"/>
            </w:pPr>
            <w:r/>
            <w:r>
              <w:rPr>
                <w:b/>
                <w:color w:val="1F3864"/>
                <w:sz w:val="18"/>
              </w:rPr>
              <w:t>Severity</w:t>
            </w:r>
          </w:p>
        </w:tc>
      </w:tr>
      <w:tr>
        <w:tc>
          <w:tcPr>
            <w:tcW w:type="dxa" w:w="3400"/>
            <w:shd w:val="clear" w:color="auto" w:fill="FFFFFF"/>
          </w:tcPr>
          <w:p>
            <w:pPr>
              <w:spacing w:before="40" w:after="40"/>
            </w:pPr>
            <w:r/>
            <w:r>
              <w:rPr>
                <w:color w:val="000000"/>
                <w:sz w:val="18"/>
              </w:rPr>
              <w:t>120-day execution window vs current OEM lead times on latest-generation servers</w:t>
            </w:r>
          </w:p>
        </w:tc>
        <w:tc>
          <w:tcPr>
            <w:tcW w:type="dxa" w:w="3400"/>
            <w:shd w:val="clear" w:color="auto" w:fill="FFFFFF"/>
          </w:tcPr>
          <w:p>
            <w:pPr>
              <w:spacing w:before="40" w:after="40"/>
            </w:pPr>
            <w:r/>
            <w:r>
              <w:rPr>
                <w:color w:val="000000"/>
                <w:sz w:val="18"/>
              </w:rPr>
              <w:t>CCTP §1.2 / CCAP Art. 22</w:t>
            </w:r>
          </w:p>
        </w:tc>
        <w:tc>
          <w:tcPr>
            <w:tcW w:type="dxa" w:w="3400"/>
            <w:shd w:val="clear" w:color="auto" w:fill="FFFFFF"/>
          </w:tcPr>
          <w:p>
            <w:pPr>
              <w:spacing w:before="40" w:after="40"/>
            </w:pPr>
            <w:r/>
            <w:r>
              <w:rPr>
                <w:b/>
                <w:color w:val="C00000"/>
                <w:sz w:val="18"/>
              </w:rPr>
              <w:t>High</w:t>
            </w:r>
          </w:p>
        </w:tc>
      </w:tr>
      <w:tr>
        <w:tc>
          <w:tcPr>
            <w:tcW w:type="dxa" w:w="3400"/>
            <w:shd w:val="clear" w:color="auto" w:fill="FFFFFF"/>
          </w:tcPr>
          <w:p>
            <w:pPr>
              <w:spacing w:before="40" w:after="40"/>
            </w:pPr>
            <w:r/>
            <w:r>
              <w:rPr>
                <w:color w:val="000000"/>
                <w:sz w:val="18"/>
              </w:rPr>
              <w:t>Live VM migration from VMware vSphere 8 to new hypervisor without production impact</w:t>
            </w:r>
          </w:p>
        </w:tc>
        <w:tc>
          <w:tcPr>
            <w:tcW w:type="dxa" w:w="3400"/>
            <w:shd w:val="clear" w:color="auto" w:fill="FFFFFF"/>
          </w:tcPr>
          <w:p>
            <w:pPr>
              <w:spacing w:before="40" w:after="40"/>
            </w:pPr>
            <w:r/>
            <w:r>
              <w:rPr>
                <w:color w:val="000000"/>
                <w:sz w:val="18"/>
              </w:rPr>
              <w:t>CCTP §1.2, Lot 2</w:t>
            </w:r>
          </w:p>
        </w:tc>
        <w:tc>
          <w:tcPr>
            <w:tcW w:type="dxa" w:w="3400"/>
            <w:shd w:val="clear" w:color="auto" w:fill="FFFFFF"/>
          </w:tcPr>
          <w:p>
            <w:pPr>
              <w:spacing w:before="40" w:after="40"/>
            </w:pPr>
            <w:r/>
            <w:r>
              <w:rPr>
                <w:b/>
                <w:color w:val="C00000"/>
                <w:sz w:val="18"/>
              </w:rPr>
              <w:t>High</w:t>
            </w:r>
          </w:p>
        </w:tc>
      </w:tr>
      <w:tr>
        <w:tc>
          <w:tcPr>
            <w:tcW w:type="dxa" w:w="3400"/>
            <w:shd w:val="clear" w:color="auto" w:fill="FFFFFF"/>
          </w:tcPr>
          <w:p>
            <w:pPr>
              <w:spacing w:before="40" w:after="40"/>
            </w:pPr>
            <w:r/>
            <w:r>
              <w:rPr>
                <w:color w:val="000000"/>
                <w:sz w:val="18"/>
              </w:rPr>
              <w:t>Same-brand constraint on servers + storage + backup server limits OEM options</w:t>
            </w:r>
          </w:p>
        </w:tc>
        <w:tc>
          <w:tcPr>
            <w:tcW w:type="dxa" w:w="3400"/>
            <w:shd w:val="clear" w:color="auto" w:fill="FFFFFF"/>
          </w:tcPr>
          <w:p>
            <w:pPr>
              <w:spacing w:before="40" w:after="40"/>
            </w:pPr>
            <w:r/>
            <w:r>
              <w:rPr>
                <w:color w:val="000000"/>
                <w:sz w:val="18"/>
              </w:rPr>
              <w:t>CCTP Lots 1, 3, 4</w:t>
            </w:r>
          </w:p>
        </w:tc>
        <w:tc>
          <w:tcPr>
            <w:tcW w:type="dxa" w:w="3400"/>
            <w:shd w:val="clear" w:color="auto" w:fill="FFFFFF"/>
          </w:tcPr>
          <w:p>
            <w:pPr>
              <w:spacing w:before="40" w:after="40"/>
            </w:pPr>
            <w:r/>
            <w:r>
              <w:rPr>
                <w:b/>
                <w:color w:val="FF6600"/>
                <w:sz w:val="18"/>
              </w:rPr>
              <w:t>Medium</w:t>
            </w:r>
          </w:p>
        </w:tc>
      </w:tr>
      <w:tr>
        <w:tc>
          <w:tcPr>
            <w:tcW w:type="dxa" w:w="3400"/>
            <w:shd w:val="clear" w:color="auto" w:fill="FFFFFF"/>
          </w:tcPr>
          <w:p>
            <w:pPr>
              <w:spacing w:before="40" w:after="40"/>
            </w:pPr>
            <w:r/>
            <w:r>
              <w:rPr>
                <w:color w:val="000000"/>
                <w:sz w:val="18"/>
              </w:rPr>
              <w:t>Backup licence sized for 15 VMs only — actual production VM count likely higher</w:t>
            </w:r>
          </w:p>
        </w:tc>
        <w:tc>
          <w:tcPr>
            <w:tcW w:type="dxa" w:w="3400"/>
            <w:shd w:val="clear" w:color="auto" w:fill="FFFFFF"/>
          </w:tcPr>
          <w:p>
            <w:pPr>
              <w:spacing w:before="40" w:after="40"/>
            </w:pPr>
            <w:r/>
            <w:r>
              <w:rPr>
                <w:color w:val="000000"/>
                <w:sz w:val="18"/>
              </w:rPr>
              <w:t>CCTP Lot 5</w:t>
            </w:r>
          </w:p>
        </w:tc>
        <w:tc>
          <w:tcPr>
            <w:tcW w:type="dxa" w:w="3400"/>
            <w:shd w:val="clear" w:color="auto" w:fill="FFFFFF"/>
          </w:tcPr>
          <w:p>
            <w:pPr>
              <w:spacing w:before="40" w:after="40"/>
            </w:pPr>
            <w:r/>
            <w:r>
              <w:rPr>
                <w:b/>
                <w:color w:val="FF6600"/>
                <w:sz w:val="18"/>
              </w:rPr>
              <w:t>Medium</w:t>
            </w:r>
          </w:p>
        </w:tc>
      </w:tr>
      <w:tr>
        <w:tc>
          <w:tcPr>
            <w:tcW w:type="dxa" w:w="3400"/>
            <w:shd w:val="clear" w:color="auto" w:fill="FFFFFF"/>
          </w:tcPr>
          <w:p>
            <w:pPr>
              <w:spacing w:before="40" w:after="40"/>
            </w:pPr>
            <w:r/>
            <w:r>
              <w:rPr>
                <w:color w:val="000000"/>
                <w:sz w:val="18"/>
              </w:rPr>
              <w:t>RAID 5 configured as the active RAID level on a enterprise storage array</w:t>
            </w:r>
          </w:p>
        </w:tc>
        <w:tc>
          <w:tcPr>
            <w:tcW w:type="dxa" w:w="3400"/>
            <w:shd w:val="clear" w:color="auto" w:fill="FFFFFF"/>
          </w:tcPr>
          <w:p>
            <w:pPr>
              <w:spacing w:before="40" w:after="40"/>
            </w:pPr>
            <w:r/>
            <w:r>
              <w:rPr>
                <w:color w:val="000000"/>
                <w:sz w:val="18"/>
              </w:rPr>
              <w:t>CCTP Lot 3 (storage array specs)</w:t>
            </w:r>
          </w:p>
        </w:tc>
        <w:tc>
          <w:tcPr>
            <w:tcW w:type="dxa" w:w="3400"/>
            <w:shd w:val="clear" w:color="auto" w:fill="FFFFFF"/>
          </w:tcPr>
          <w:p>
            <w:pPr>
              <w:spacing w:before="40" w:after="40"/>
            </w:pPr>
            <w:r/>
            <w:r>
              <w:rPr>
                <w:b/>
                <w:color w:val="FF6600"/>
                <w:sz w:val="18"/>
              </w:rPr>
              <w:t>Medium</w:t>
            </w:r>
          </w:p>
        </w:tc>
      </w:tr>
      <w:tr>
        <w:tc>
          <w:tcPr>
            <w:tcW w:type="dxa" w:w="3400"/>
            <w:shd w:val="clear" w:color="auto" w:fill="FFFFFF"/>
          </w:tcPr>
          <w:p>
            <w:pPr>
              <w:spacing w:before="40" w:after="40"/>
            </w:pPr>
            <w:r/>
            <w:r>
              <w:rPr>
                <w:color w:val="000000"/>
                <w:sz w:val="18"/>
              </w:rPr>
              <w:t>Battery autonomy on storage array not quantified — risk of data loss on extended power failure</w:t>
            </w:r>
          </w:p>
        </w:tc>
        <w:tc>
          <w:tcPr>
            <w:tcW w:type="dxa" w:w="3400"/>
            <w:shd w:val="clear" w:color="auto" w:fill="FFFFFF"/>
          </w:tcPr>
          <w:p>
            <w:pPr>
              <w:spacing w:before="40" w:after="40"/>
            </w:pPr>
            <w:r/>
            <w:r>
              <w:rPr>
                <w:color w:val="000000"/>
                <w:sz w:val="18"/>
              </w:rPr>
              <w:t>CCTP Lot 3</w:t>
            </w:r>
          </w:p>
        </w:tc>
        <w:tc>
          <w:tcPr>
            <w:tcW w:type="dxa" w:w="3400"/>
            <w:shd w:val="clear" w:color="auto" w:fill="FFFFFF"/>
          </w:tcPr>
          <w:p>
            <w:pPr>
              <w:spacing w:before="40" w:after="40"/>
            </w:pPr>
            <w:r/>
            <w:r>
              <w:rPr>
                <w:b/>
                <w:color w:val="FF6600"/>
                <w:sz w:val="18"/>
              </w:rPr>
              <w:t>Medium</w:t>
            </w:r>
          </w:p>
        </w:tc>
      </w:tr>
      <w:tr>
        <w:tc>
          <w:tcPr>
            <w:tcW w:type="dxa" w:w="3400"/>
            <w:shd w:val="clear" w:color="auto" w:fill="FFFFFF"/>
          </w:tcPr>
          <w:p>
            <w:pPr>
              <w:spacing w:before="40" w:after="40"/>
            </w:pPr>
            <w:r/>
            <w:r>
              <w:rPr>
                <w:color w:val="000000"/>
                <w:sz w:val="18"/>
              </w:rPr>
              <w:t>RPO/RTO targets not defined by the buyer — leaves soumissionnaire exposed on performance commitments</w:t>
            </w:r>
          </w:p>
        </w:tc>
        <w:tc>
          <w:tcPr>
            <w:tcW w:type="dxa" w:w="3400"/>
            <w:shd w:val="clear" w:color="auto" w:fill="FFFFFF"/>
          </w:tcPr>
          <w:p>
            <w:pPr>
              <w:spacing w:before="40" w:after="40"/>
            </w:pPr>
            <w:r/>
            <w:r>
              <w:rPr>
                <w:color w:val="000000"/>
                <w:sz w:val="18"/>
              </w:rPr>
              <w:t>CCTP Lot 2 (virtualisation)</w:t>
            </w:r>
          </w:p>
        </w:tc>
        <w:tc>
          <w:tcPr>
            <w:tcW w:type="dxa" w:w="3400"/>
            <w:shd w:val="clear" w:color="auto" w:fill="FFFFFF"/>
          </w:tcPr>
          <w:p>
            <w:pPr>
              <w:spacing w:before="40" w:after="40"/>
            </w:pPr>
            <w:r/>
            <w:r>
              <w:rPr>
                <w:b/>
                <w:color w:val="FF6600"/>
                <w:sz w:val="18"/>
              </w:rPr>
              <w:t>Medium</w:t>
            </w:r>
          </w:p>
        </w:tc>
      </w:tr>
      <w:tr>
        <w:tc>
          <w:tcPr>
            <w:tcW w:type="dxa" w:w="3400"/>
            <w:shd w:val="clear" w:color="auto" w:fill="FFFFFF"/>
          </w:tcPr>
          <w:p>
            <w:pPr>
              <w:spacing w:before="40" w:after="40"/>
            </w:pPr>
            <w:r/>
            <w:r>
              <w:rPr>
                <w:color w:val="000000"/>
                <w:sz w:val="18"/>
              </w:rPr>
              <w:t>Boot-on-SAN dependency — FC direct-attach limits scalability beyond 2 hosts</w:t>
            </w:r>
          </w:p>
        </w:tc>
        <w:tc>
          <w:tcPr>
            <w:tcW w:type="dxa" w:w="3400"/>
            <w:shd w:val="clear" w:color="auto" w:fill="FFFFFF"/>
          </w:tcPr>
          <w:p>
            <w:pPr>
              <w:spacing w:before="40" w:after="40"/>
            </w:pPr>
            <w:r/>
            <w:r>
              <w:rPr>
                <w:color w:val="000000"/>
                <w:sz w:val="18"/>
              </w:rPr>
              <w:t>CCTP Lot 2 (Boot on SAN)</w:t>
            </w:r>
          </w:p>
        </w:tc>
        <w:tc>
          <w:tcPr>
            <w:tcW w:type="dxa" w:w="3400"/>
            <w:shd w:val="clear" w:color="auto" w:fill="FFFFFF"/>
          </w:tcPr>
          <w:p>
            <w:pPr>
              <w:spacing w:before="40" w:after="40"/>
            </w:pPr>
            <w:r/>
            <w:r>
              <w:rPr>
                <w:b/>
                <w:color w:val="375623"/>
                <w:sz w:val="18"/>
              </w:rPr>
              <w:t>Low</w:t>
            </w:r>
          </w:p>
        </w:tc>
      </w:tr>
    </w:tbl>
    <w:p/>
    <w:p>
      <w:pPr>
        <w:spacing w:before="120" w:after="60"/>
      </w:pPr>
      <w:r>
        <w:rPr>
          <w:b/>
          <w:color w:val="1F3864"/>
          <w:sz w:val="26"/>
        </w:rPr>
        <w:t>5. Relevance Synthesis</w:t>
      </w:r>
    </w:p>
    <w:p>
      <w:pPr>
        <w:spacing w:before="40" w:after="80"/>
      </w:pPr>
      <w:r>
        <w:rPr>
          <w:b/>
          <w:color w:val="404040"/>
          <w:sz w:val="20"/>
        </w:rPr>
        <w:t>Strengths of this opportunity:</w:t>
      </w:r>
    </w:p>
    <w:p>
      <w:pPr>
        <w:pStyle w:val="ListParagraph"/>
        <w:spacing w:before="20" w:after="20"/>
      </w:pPr>
      <w:r>
        <w:rPr>
          <w:color w:val="404040"/>
          <w:sz w:val="20"/>
        </w:rPr>
        <w:t>Defence sector reference — high strategic value for North African market credibility</w:t>
      </w:r>
    </w:p>
    <w:p>
      <w:pPr>
        <w:pStyle w:val="ListParagraph"/>
        <w:spacing w:before="20" w:after="20"/>
      </w:pPr>
      <w:r>
        <w:rPr>
          <w:color w:val="404040"/>
          <w:sz w:val="20"/>
        </w:rPr>
        <w:t>Full datacenter scope in a single contract — visibility across the full ICT portfolio</w:t>
      </w:r>
    </w:p>
    <w:p>
      <w:pPr>
        <w:pStyle w:val="ListParagraph"/>
        <w:spacing w:before="20" w:after="20"/>
      </w:pPr>
      <w:r>
        <w:rPr>
          <w:color w:val="404040"/>
          <w:sz w:val="20"/>
        </w:rPr>
        <w:t>Specs map to standard Tier-1 OEM portfolios — no exotic or non-standard requirements</w:t>
      </w:r>
    </w:p>
    <w:p>
      <w:pPr>
        <w:pStyle w:val="ListParagraph"/>
        <w:spacing w:before="20" w:after="20"/>
      </w:pPr>
      <w:r>
        <w:rPr>
          <w:color w:val="404040"/>
          <w:sz w:val="20"/>
        </w:rPr>
        <w:t>Professional procurement framework via TUNEPS with clear CCAP and CCTP</w:t>
      </w:r>
    </w:p>
    <w:p>
      <w:pPr>
        <w:pStyle w:val="ListParagraph"/>
        <w:spacing w:before="20" w:after="20"/>
      </w:pPr>
      <w:r>
        <w:rPr>
          <w:color w:val="404040"/>
          <w:sz w:val="20"/>
        </w:rPr>
        <w:t>2-year bundled support contract generates predictable recurring revenue</w:t>
      </w:r>
    </w:p>
    <w:p>
      <w:pPr>
        <w:spacing w:before="40" w:after="80"/>
      </w:pPr>
      <w:r>
        <w:rPr>
          <w:b/>
          <w:color w:val="404040"/>
          <w:sz w:val="20"/>
        </w:rPr>
        <w:t>Challenges:</w:t>
      </w:r>
    </w:p>
    <w:p>
      <w:pPr>
        <w:pStyle w:val="ListParagraph"/>
        <w:spacing w:before="20" w:after="20"/>
      </w:pPr>
      <w:r>
        <w:rPr>
          <w:color w:val="404040"/>
          <w:sz w:val="20"/>
        </w:rPr>
        <w:t>Tight 120-day execution window vs current OEM lead times on latest-generation hardware</w:t>
      </w:r>
    </w:p>
    <w:p>
      <w:pPr>
        <w:pStyle w:val="ListParagraph"/>
        <w:spacing w:before="20" w:after="20"/>
      </w:pPr>
      <w:r>
        <w:rPr>
          <w:color w:val="404040"/>
          <w:sz w:val="20"/>
        </w:rPr>
        <w:t>VMware migration is the critical-path risk item — live migration without production impact is mandatory</w:t>
      </w:r>
    </w:p>
    <w:p>
      <w:pPr>
        <w:pStyle w:val="ListParagraph"/>
        <w:spacing w:before="20" w:after="20"/>
      </w:pPr>
      <w:r>
        <w:rPr>
          <w:color w:val="404040"/>
          <w:sz w:val="20"/>
        </w:rPr>
        <w:t>Same-brand constraint requires early OEM commitment before contract award</w:t>
      </w:r>
    </w:p>
    <w:p>
      <w:pPr>
        <w:pStyle w:val="ListParagraph"/>
        <w:spacing w:before="20" w:after="20"/>
      </w:pPr>
      <w:r>
        <w:rPr>
          <w:color w:val="404040"/>
          <w:sz w:val="20"/>
        </w:rPr>
        <w:t>Defence security screening can disqualify a vendor late in the process</w:t>
      </w:r>
    </w:p>
    <w:p>
      <w:pPr>
        <w:pStyle w:val="ListParagraph"/>
        <w:spacing w:before="20" w:after="20"/>
      </w:pPr>
      <w:r>
        <w:rPr>
          <w:color w:val="404040"/>
          <w:sz w:val="20"/>
        </w:rPr>
        <w:t>FX exposure partially mitigated (capped at 2% price revision) — contracts in TND</w:t>
      </w:r>
    </w:p>
    <w:p/>
    <w:p>
      <w:pPr>
        <w:spacing w:before="40" w:after="80"/>
      </w:pPr>
      <w:r>
        <w:rPr>
          <w:b/>
          <w:color w:val="404040"/>
          <w:sz w:val="20"/>
        </w:rPr>
        <w:t>Relevance by vendor profile: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tblHeader/>
        </w:trPr>
        <w:tc>
          <w:tcPr>
            <w:tcW w:type="dxa" w:w="5100"/>
            <w:shd w:val="clear" w:color="auto" w:fill="1F3864"/>
          </w:tcPr>
          <w:p>
            <w:pPr>
              <w:spacing w:before="40" w:after="40"/>
              <w:jc w:val="left"/>
            </w:pPr>
            <w:r/>
            <w:r>
              <w:rPr>
                <w:b/>
                <w:color w:val="1F3864"/>
                <w:sz w:val="18"/>
              </w:rPr>
              <w:t>Profile</w:t>
            </w:r>
          </w:p>
        </w:tc>
        <w:tc>
          <w:tcPr>
            <w:tcW w:type="dxa" w:w="5100"/>
            <w:shd w:val="clear" w:color="auto" w:fill="1F3864"/>
          </w:tcPr>
          <w:p>
            <w:pPr>
              <w:spacing w:before="40" w:after="40"/>
              <w:jc w:val="left"/>
            </w:pPr>
            <w:r/>
            <w:r>
              <w:rPr>
                <w:b/>
                <w:color w:val="1F3864"/>
                <w:sz w:val="18"/>
              </w:rPr>
              <w:t>Relevance</w:t>
            </w:r>
          </w:p>
        </w:tc>
      </w:tr>
      <w:tr>
        <w:tc>
          <w:tcPr>
            <w:tcW w:type="dxa" w:w="5100"/>
            <w:shd w:val="clear" w:color="auto" w:fill="FFFFFF"/>
          </w:tcPr>
          <w:p>
            <w:pPr>
              <w:spacing w:before="40" w:after="40"/>
              <w:jc w:val="left"/>
            </w:pPr>
            <w:r/>
            <w:r>
              <w:rPr>
                <w:color w:val="000000"/>
                <w:sz w:val="18"/>
              </w:rPr>
              <w:t>Tier-1 OEM with strong North African channel (e.g., Huawei, Dell, HPE, Lenovo)</w:t>
            </w:r>
          </w:p>
        </w:tc>
        <w:tc>
          <w:tcPr>
            <w:tcW w:type="dxa" w:w="5100"/>
            <w:shd w:val="clear" w:color="auto" w:fill="FFFFFF"/>
          </w:tcPr>
          <w:p>
            <w:pPr>
              <w:spacing w:before="40" w:after="40"/>
              <w:jc w:val="left"/>
            </w:pPr>
            <w:r/>
            <w:r>
              <w:rPr>
                <w:color w:val="000000"/>
                <w:sz w:val="18"/>
              </w:rPr>
              <w:t>Highly relevant — natural fit for full-stack datacenter scope</w:t>
            </w:r>
          </w:p>
        </w:tc>
      </w:tr>
      <w:tr>
        <w:tc>
          <w:tcPr>
            <w:tcW w:type="dxa" w:w="5100"/>
            <w:shd w:val="clear" w:color="auto" w:fill="FFFFFF"/>
          </w:tcPr>
          <w:p>
            <w:pPr>
              <w:spacing w:before="40" w:after="40"/>
              <w:jc w:val="left"/>
            </w:pPr>
            <w:r/>
            <w:r>
              <w:rPr>
                <w:color w:val="000000"/>
                <w:sz w:val="18"/>
              </w:rPr>
              <w:t>Tier-2 OEM with limited local presence</w:t>
            </w:r>
          </w:p>
        </w:tc>
        <w:tc>
          <w:tcPr>
            <w:tcW w:type="dxa" w:w="5100"/>
            <w:shd w:val="clear" w:color="auto" w:fill="FFFFFF"/>
          </w:tcPr>
          <w:p>
            <w:pPr>
              <w:spacing w:before="40" w:after="40"/>
              <w:jc w:val="left"/>
            </w:pPr>
            <w:r/>
            <w:r>
              <w:rPr>
                <w:color w:val="000000"/>
                <w:sz w:val="18"/>
              </w:rPr>
              <w:t>Moderately relevant — requires certified local partner or integrator</w:t>
            </w:r>
          </w:p>
        </w:tc>
      </w:tr>
      <w:tr>
        <w:tc>
          <w:tcPr>
            <w:tcW w:type="dxa" w:w="5100"/>
            <w:shd w:val="clear" w:color="auto" w:fill="FFFFFF"/>
          </w:tcPr>
          <w:p>
            <w:pPr>
              <w:spacing w:before="40" w:after="40"/>
              <w:jc w:val="left"/>
            </w:pPr>
            <w:r/>
            <w:r>
              <w:rPr>
                <w:color w:val="000000"/>
                <w:sz w:val="18"/>
              </w:rPr>
              <w:t>Local integrator without OEM-level partnership</w:t>
            </w:r>
          </w:p>
        </w:tc>
        <w:tc>
          <w:tcPr>
            <w:tcW w:type="dxa" w:w="5100"/>
            <w:shd w:val="clear" w:color="auto" w:fill="FFFFFF"/>
          </w:tcPr>
          <w:p>
            <w:pPr>
              <w:spacing w:before="40" w:after="40"/>
              <w:jc w:val="left"/>
            </w:pPr>
            <w:r/>
            <w:r>
              <w:rPr>
                <w:color w:val="000000"/>
                <w:sz w:val="18"/>
              </w:rPr>
              <w:t>Low relevance — MAF and brand constraint are blocking without OEM backing</w:t>
            </w:r>
          </w:p>
        </w:tc>
      </w:tr>
      <w:tr>
        <w:tc>
          <w:tcPr>
            <w:tcW w:type="dxa" w:w="5100"/>
            <w:shd w:val="clear" w:color="auto" w:fill="FFFFFF"/>
          </w:tcPr>
          <w:p>
            <w:pPr>
              <w:spacing w:before="40" w:after="40"/>
              <w:jc w:val="left"/>
            </w:pPr>
            <w:r/>
            <w:r>
              <w:rPr>
                <w:color w:val="000000"/>
                <w:sz w:val="18"/>
              </w:rPr>
              <w:t>New entrant without local references</w:t>
            </w:r>
          </w:p>
        </w:tc>
        <w:tc>
          <w:tcPr>
            <w:tcW w:type="dxa" w:w="5100"/>
            <w:shd w:val="clear" w:color="auto" w:fill="FFFFFF"/>
          </w:tcPr>
          <w:p>
            <w:pPr>
              <w:spacing w:before="40" w:after="40"/>
              <w:jc w:val="left"/>
            </w:pPr>
            <w:r/>
            <w:r>
              <w:rPr>
                <w:color w:val="000000"/>
                <w:sz w:val="18"/>
              </w:rPr>
              <w:t>Low relevance — defence screening and track-record requirements are disqualifying</w:t>
            </w:r>
          </w:p>
        </w:tc>
      </w:tr>
    </w:tbl>
    <w:p/>
    <w:p>
      <w:pPr>
        <w:spacing w:before="80" w:after="120"/>
        <w:pBdr>
          <w:top w:val="single" w:sz="6" w:space="4" w:color="1F3864"/>
          <w:left w:val="single" w:sz="6" w:space="4" w:color="1F3864"/>
          <w:bottom w:val="single" w:sz="6" w:space="4" w:color="1F3864"/>
          <w:right w:val="single" w:sz="6" w:space="4" w:color="1F3864"/>
        </w:pBdr>
        <w:shd w:val="clear" w:color="auto" w:fill="EEF3FA"/>
      </w:pPr>
      <w:r>
        <w:rPr>
          <w:color w:val="404040"/>
          <w:sz w:val="20"/>
        </w:rPr>
        <w:t>This tender is structurally relevant for any Tier-1 ICT vendor with a local presence or certified channel partner. The full-stack scope, professional procurement, and 2-year support 捆绑 make it a strategic entry point into the Tunisian defence ICT ecosystem.</w:t>
        <w:br/>
        <w:br/>
      </w:r>
      <w:r>
        <w:rPr>
          <w:b/>
          <w:color w:val="1F3864"/>
          <w:sz w:val="20"/>
        </w:rPr>
        <w:t>Management validation is required on three items before a binding offer is submitted: 1) exact production VM count to confirm or upsize the 15-VM backup licence; 2) acceptable maintenance window and downtime tolerance during live migration; 3) current VMware vSphere 8 version, build, and VM inventory to size the migration track.</w:t>
      </w:r>
    </w:p>
    <w:sectPr w:rsidR="00FC693F" w:rsidRPr="0006063C" w:rsidSect="00034616">
      <w:pgSz w:w="12240" w:h="15840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