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F3864"/>
          <w:sz w:val="32"/>
        </w:rPr>
        <w:t>CCAP RELEVANCE ANALYSIS — 20260301601</w:t>
      </w:r>
    </w:p>
    <w:p>
      <w:pPr>
        <w:spacing w:before="0" w:after="200"/>
        <w:jc w:val="center"/>
      </w:pPr>
      <w:r>
        <w:rPr>
          <w:color w:val="2E75B6"/>
          <w:sz w:val="22"/>
        </w:rPr>
        <w:t>Administrative Tender Document | Ministry of National Defence</w:t>
      </w:r>
    </w:p>
    <w:p>
      <w:pPr>
        <w:spacing w:before="160" w:after="80"/>
        <w:pBdr>
          <w:bottom w:val="single" w:sz="8" w:space="2" w:color="2E75B6"/>
        </w:pBdr>
      </w:pPr>
      <w:r>
        <w:rPr>
          <w:b/>
          <w:color w:val="1F3864"/>
          <w:sz w:val="26"/>
        </w:rPr>
        <w:t>1. Document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/>
        </w:tc>
        <w:tc>
          <w:tcPr>
            <w:tcW w:type="dxa" w:w="5100"/>
          </w:tcPr>
          <w:p/>
        </w:tc>
      </w:tr>
      <w:tr>
        <w:tc>
          <w:tcPr>
            <w:tcW w:type="dxa" w:w="5100"/>
            <w:shd w:val="clear" w:color="auto" w:fill="FFFFFF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8"/>
              </w:rPr>
              <w:t>Field</w:t>
            </w:r>
          </w:p>
        </w:tc>
        <w:tc>
          <w:tcPr>
            <w:tcW w:type="dxa" w:w="5100"/>
            <w:shd w:val="clear" w:color="auto" w:fill="FFFFFF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8"/>
              </w:rPr>
              <w:t>Detail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Authority</w:t>
            </w:r>
          </w:p>
        </w:tc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Ministry of National Defence — General Directorate for ICT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Project</w:t>
            </w:r>
          </w:p>
        </w:tc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Acquisition and installation of integrated servers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Tender Reference</w:t>
            </w:r>
          </w:p>
        </w:tc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N° 06/DIV/2026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Document Type</w:t>
            </w:r>
          </w:p>
        </w:tc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Cahier des Charges Administratives (CCAP)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Language</w:t>
            </w:r>
          </w:p>
        </w:tc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Arabic (original); English translation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Currency</w:t>
            </w:r>
          </w:p>
        </w:tc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Tunisian Dinar (TND)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Bid Validity</w:t>
            </w:r>
          </w:p>
        </w:tc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120 days from submission deadline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Temporary Guarantee</w:t>
            </w:r>
          </w:p>
        </w:tc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5,000 TND</w:t>
            </w:r>
          </w:p>
        </w:tc>
      </w:tr>
    </w:tbl>
    <w:p/>
    <w:p>
      <w:pPr>
        <w:spacing w:before="160" w:after="80"/>
        <w:pBdr>
          <w:bottom w:val="single" w:sz="8" w:space="2" w:color="2E75B6"/>
        </w:pBdr>
      </w:pPr>
      <w:r>
        <w:rPr>
          <w:b/>
          <w:color w:val="1F3864"/>
          <w:sz w:val="26"/>
        </w:rPr>
        <w:t>2. Participation Conditions</w:t>
      </w:r>
    </w:p>
    <w:p>
      <w:pPr>
        <w:spacing w:before="40" w:after="40"/>
      </w:pPr>
      <w:r>
        <w:rPr>
          <w:b/>
          <w:color w:val="404040"/>
          <w:sz w:val="20"/>
        </w:rPr>
        <w:t>Article 2 — Scope</w:t>
      </w:r>
    </w:p>
    <w:p>
      <w:pPr>
        <w:pStyle w:val="ListBullet"/>
        <w:spacing w:before="20" w:after="20"/>
      </w:pPr>
      <w:r>
        <w:rPr>
          <w:color w:val="404040"/>
          <w:sz w:val="18"/>
        </w:rPr>
        <w:t>Single lot consisting of 8 line items</w:t>
      </w:r>
    </w:p>
    <w:p>
      <w:pPr>
        <w:pStyle w:val="ListBullet"/>
        <w:spacing w:before="20" w:after="20"/>
      </w:pPr>
      <w:r>
        <w:rPr>
          <w:color w:val="404040"/>
          <w:sz w:val="18"/>
        </w:rPr>
        <w:t>Bidders must submit for the entire lot — partial bids are NOT accepted</w:t>
      </w:r>
    </w:p>
    <w:p>
      <w:pPr>
        <w:spacing w:before="80" w:after="40"/>
      </w:pPr>
      <w:r>
        <w:rPr>
          <w:b/>
          <w:color w:val="404040"/>
          <w:sz w:val="20"/>
        </w:rPr>
        <w:t>Article 3 — Eligibility</w:t>
      </w:r>
    </w:p>
    <w:p>
      <w:pPr>
        <w:pStyle w:val="ListBullet"/>
        <w:spacing w:before="20" w:after="20"/>
      </w:pPr>
      <w:r>
        <w:rPr>
          <w:color w:val="404040"/>
          <w:sz w:val="18"/>
        </w:rPr>
        <w:t>Participating suppliers must demonstrate professional, technical, and financial qualifications</w:t>
      </w:r>
    </w:p>
    <w:p>
      <w:pPr>
        <w:spacing w:before="80" w:after="40"/>
      </w:pPr>
      <w:r>
        <w:rPr>
          <w:b/>
          <w:color w:val="404040"/>
          <w:sz w:val="20"/>
        </w:rPr>
        <w:t>Article 4 — Access to Documents</w:t>
      </w:r>
    </w:p>
    <w:p>
      <w:pPr>
        <w:pStyle w:val="ListBullet"/>
        <w:spacing w:before="20" w:after="20"/>
      </w:pPr>
      <w:r>
        <w:rPr>
          <w:color w:val="404040"/>
          <w:sz w:val="18"/>
        </w:rPr>
        <w:t>Complete tender package available via TUNEPS online portal upon publication</w:t>
      </w:r>
    </w:p>
    <w:p/>
    <w:p>
      <w:pPr>
        <w:spacing w:before="160" w:after="80"/>
        <w:pBdr>
          <w:bottom w:val="single" w:sz="8" w:space="2" w:color="2E75B6"/>
        </w:pBdr>
      </w:pPr>
      <w:r>
        <w:rPr>
          <w:b/>
          <w:color w:val="1F3864"/>
          <w:sz w:val="26"/>
        </w:rPr>
        <w:t>3. Bid Components</w:t>
      </w:r>
    </w:p>
    <w:p>
      <w:pPr>
        <w:spacing w:before="40" w:after="40"/>
      </w:pPr>
      <w:r>
        <w:rPr>
          <w:b/>
          <w:color w:val="404040"/>
          <w:sz w:val="20"/>
        </w:rPr>
        <w:t>3.1 Financial Offer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/>
        </w:tc>
        <w:tc>
          <w:tcPr>
            <w:tcW w:type="dxa" w:w="5100"/>
          </w:tcPr>
          <w:p/>
        </w:tc>
      </w:tr>
      <w:tr>
        <w:tc>
          <w:tcPr>
            <w:tcW w:type="dxa" w:w="5100"/>
            <w:shd w:val="clear" w:color="auto" w:fill="FFFFFF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8"/>
              </w:rPr>
              <w:t>Document</w:t>
            </w:r>
          </w:p>
        </w:tc>
        <w:tc>
          <w:tcPr>
            <w:tcW w:type="dxa" w:w="5100"/>
            <w:shd w:val="clear" w:color="auto" w:fill="FFFFFF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8"/>
              </w:rPr>
              <w:t>Requirements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Financial Commitment Letter</w:t>
            </w:r>
          </w:p>
        </w:tc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Completed, signed, stamped per Appendix 1 template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Detailed Estimative Invoice</w:t>
            </w:r>
          </w:p>
        </w:tc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Itemized per component, signed and stamped</w:t>
            </w:r>
          </w:p>
        </w:tc>
      </w:tr>
    </w:tbl>
    <w:p/>
    <w:p>
      <w:pPr>
        <w:spacing w:before="40" w:after="40"/>
      </w:pPr>
      <w:r>
        <w:rPr>
          <w:b/>
          <w:color w:val="404040"/>
          <w:sz w:val="20"/>
        </w:rPr>
        <w:t>3.2 Technical Offer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/>
        </w:tc>
        <w:tc>
          <w:tcPr>
            <w:tcW w:type="dxa" w:w="5100"/>
          </w:tcPr>
          <w:p/>
        </w:tc>
      </w:tr>
      <w:tr>
        <w:tc>
          <w:tcPr>
            <w:tcW w:type="dxa" w:w="5100"/>
            <w:shd w:val="clear" w:color="auto" w:fill="FFFFFF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8"/>
              </w:rPr>
              <w:t>Document</w:t>
            </w:r>
          </w:p>
        </w:tc>
        <w:tc>
          <w:tcPr>
            <w:tcW w:type="dxa" w:w="5100"/>
            <w:shd w:val="clear" w:color="auto" w:fill="FFFFFF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8"/>
              </w:rPr>
              <w:t>Requirements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Signed CCTP</w:t>
            </w:r>
          </w:p>
        </w:tc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Initialed every page; signed and stamped on final page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Technical Bid Forms</w:t>
            </w:r>
          </w:p>
        </w:tc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Completed per templates in technical specifications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Technical Data Sheets</w:t>
            </w:r>
          </w:p>
        </w:tc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Completed per lot item, signed and stamped</w:t>
            </w:r>
          </w:p>
        </w:tc>
      </w:tr>
    </w:tbl>
    <w:p/>
    <w:p>
      <w:pPr>
        <w:spacing w:before="40" w:after="40"/>
      </w:pPr>
      <w:r>
        <w:rPr>
          <w:b/>
          <w:color w:val="404040"/>
          <w:sz w:val="20"/>
        </w:rPr>
        <w:t>3.3 Administrative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/>
        </w:tc>
        <w:tc>
          <w:tcPr>
            <w:tcW w:type="dxa" w:w="5100"/>
          </w:tcPr>
          <w:p/>
        </w:tc>
      </w:tr>
      <w:tr>
        <w:tc>
          <w:tcPr>
            <w:tcW w:type="dxa" w:w="5100"/>
            <w:shd w:val="clear" w:color="auto" w:fill="FFFFFF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8"/>
              </w:rPr>
              <w:t>Document</w:t>
            </w:r>
          </w:p>
        </w:tc>
        <w:tc>
          <w:tcPr>
            <w:tcW w:type="dxa" w:w="5100"/>
            <w:shd w:val="clear" w:color="auto" w:fill="FFFFFF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8"/>
              </w:rPr>
              <w:t>Requirements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Temporary Financial Guarantee</w:t>
            </w:r>
          </w:p>
        </w:tc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Bank guarantee or solidarity undertaking; 120-day validity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Declaration of Non-Collusion</w:t>
            </w:r>
          </w:p>
        </w:tc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Sworn statement via TUNEPS portal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Declaration — No Conflict of Interest</w:t>
            </w:r>
          </w:p>
        </w:tc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Sworn statement via TUNEPS portal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Manager Identification Card</w:t>
            </w:r>
          </w:p>
        </w:tc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Civil status card + national ID copy + 2 photos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Company Registry Extract</w:t>
            </w:r>
          </w:p>
        </w:tc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Within 3 months of issue date</w:t>
            </w:r>
          </w:p>
        </w:tc>
      </w:tr>
    </w:tbl>
    <w:p/>
    <w:p>
      <w:pPr>
        <w:spacing w:before="160" w:after="80"/>
        <w:pBdr>
          <w:bottom w:val="single" w:sz="8" w:space="2" w:color="2E75B6"/>
        </w:pBdr>
      </w:pPr>
      <w:r>
        <w:rPr>
          <w:b/>
          <w:color w:val="1F3864"/>
          <w:sz w:val="26"/>
        </w:rPr>
        <w:t>4. Financial Guarantee (Article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/>
        </w:tc>
        <w:tc>
          <w:tcPr>
            <w:tcW w:type="dxa" w:w="5100"/>
          </w:tcPr>
          <w:p/>
        </w:tc>
      </w:tr>
      <w:tr>
        <w:tc>
          <w:tcPr>
            <w:tcW w:type="dxa" w:w="5100"/>
            <w:shd w:val="clear" w:color="auto" w:fill="FFFFFF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8"/>
              </w:rPr>
              <w:t>Element</w:t>
            </w:r>
          </w:p>
        </w:tc>
        <w:tc>
          <w:tcPr>
            <w:tcW w:type="dxa" w:w="5100"/>
            <w:shd w:val="clear" w:color="auto" w:fill="FFFFFF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8"/>
              </w:rPr>
              <w:t>Detail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Amount</w:t>
            </w:r>
          </w:p>
        </w:tc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5,000 TND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Form</w:t>
            </w:r>
          </w:p>
        </w:tc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Bank guarantee or solidarity liability undertaking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Validity</w:t>
            </w:r>
          </w:p>
        </w:tc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Must cover full bid validity period (minimum 120 days)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Release — Non-selected bidders</w:t>
            </w:r>
          </w:p>
        </w:tc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Within 20 days of contract award notification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Release — Selected bidder</w:t>
            </w:r>
          </w:p>
        </w:tc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Upon submission of final performance guarantee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Release — Automatically rejected</w:t>
            </w:r>
          </w:p>
        </w:tc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Immediate release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Seizure — Withdrawal during validity</w:t>
            </w:r>
          </w:p>
        </w:tc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Bid withdrawal after submission deadline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Seizure — Contract refusal</w:t>
            </w:r>
          </w:p>
        </w:tc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Selected bidder refuses to sign within deadline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Seizure — No final guarantee</w:t>
            </w:r>
          </w:p>
        </w:tc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Selected bidder fails to provide final performance guarantee</w:t>
            </w:r>
          </w:p>
        </w:tc>
      </w:tr>
    </w:tbl>
    <w:p/>
    <w:p>
      <w:pPr>
        <w:spacing w:before="160" w:after="80"/>
        <w:pBdr>
          <w:bottom w:val="single" w:sz="8" w:space="2" w:color="2E75B6"/>
        </w:pBdr>
      </w:pPr>
      <w:r>
        <w:rPr>
          <w:b/>
          <w:color w:val="1F3864"/>
          <w:sz w:val="26"/>
        </w:rPr>
        <w:t>5. Submission Rules (Article 8)</w:t>
      </w:r>
    </w:p>
    <w:p>
      <w:pPr>
        <w:spacing w:before="40" w:after="40"/>
      </w:pPr>
      <w:r>
        <w:rPr>
          <w:b/>
          <w:color w:val="404040"/>
          <w:sz w:val="20"/>
        </w:rPr>
        <w:t>Online Submission (via TUNEPS)</w:t>
      </w:r>
    </w:p>
    <w:p>
      <w:pPr>
        <w:pStyle w:val="ListBullet"/>
        <w:spacing w:before="20" w:after="20"/>
      </w:pPr>
      <w:r>
        <w:rPr>
          <w:color w:val="404040"/>
          <w:sz w:val="18"/>
        </w:rPr>
        <w:t>Registration in TUNEPS is MANDATORY before the submission deadline</w:t>
      </w:r>
    </w:p>
    <w:p>
      <w:pPr>
        <w:pStyle w:val="ListBullet"/>
        <w:spacing w:before="20" w:after="20"/>
      </w:pPr>
      <w:r>
        <w:rPr>
          <w:color w:val="404040"/>
          <w:sz w:val="18"/>
        </w:rPr>
        <w:t>Financial and technical offers submitted via TUNEPS portal</w:t>
      </w:r>
    </w:p>
    <w:p>
      <w:pPr>
        <w:spacing w:before="80" w:after="40"/>
      </w:pPr>
      <w:r>
        <w:rPr>
          <w:b/>
          <w:color w:val="404040"/>
          <w:sz w:val="20"/>
        </w:rPr>
        <w:t>Late Submissions</w:t>
      </w:r>
    </w:p>
    <w:p>
      <w:pPr>
        <w:pStyle w:val="ListBullet"/>
        <w:spacing w:before="20" w:after="20"/>
      </w:pPr>
      <w:r>
        <w:rPr>
          <w:color w:val="404040"/>
          <w:sz w:val="18"/>
        </w:rPr>
        <w:t>Bids received or modified after the deadline are AUTOMATICALLY REJECTED — no exceptions</w:t>
      </w:r>
    </w:p>
    <w:p>
      <w:pPr>
        <w:spacing w:before="80" w:after="40"/>
      </w:pPr>
      <w:r>
        <w:rPr>
          <w:b/>
          <w:color w:val="404040"/>
          <w:sz w:val="20"/>
        </w:rPr>
        <w:t>Modifications</w:t>
      </w:r>
    </w:p>
    <w:p>
      <w:pPr>
        <w:pStyle w:val="ListBullet"/>
        <w:spacing w:before="20" w:after="20"/>
      </w:pPr>
      <w:r>
        <w:rPr>
          <w:color w:val="404040"/>
          <w:sz w:val="18"/>
        </w:rPr>
        <w:t>Modifications permitted during the submission window</w:t>
      </w:r>
    </w:p>
    <w:p>
      <w:pPr>
        <w:pStyle w:val="ListBullet"/>
        <w:spacing w:before="20" w:after="20"/>
      </w:pPr>
      <w:r>
        <w:rPr>
          <w:color w:val="404040"/>
          <w:sz w:val="18"/>
        </w:rPr>
        <w:t>After deadline: no modification, correction, addition, or withdrawal is allowed</w:t>
      </w:r>
    </w:p>
    <w:p>
      <w:pPr>
        <w:pStyle w:val="ListBullet"/>
        <w:spacing w:before="20" w:after="20"/>
      </w:pPr>
      <w:r>
        <w:rPr>
          <w:color w:val="404040"/>
          <w:sz w:val="18"/>
        </w:rPr>
        <w:t>Bids containing additions/modifications must identify altered items by signing person</w:t>
      </w:r>
    </w:p>
    <w:p>
      <w:pPr>
        <w:spacing w:before="80" w:after="40"/>
      </w:pPr>
      <w:r>
        <w:rPr>
          <w:b/>
          <w:color w:val="404040"/>
          <w:sz w:val="20"/>
        </w:rPr>
        <w:t>Oversized Technical Bids</w:t>
      </w:r>
    </w:p>
    <w:p>
      <w:pPr>
        <w:pStyle w:val="ListBullet"/>
        <w:spacing w:before="20" w:after="20"/>
      </w:pPr>
      <w:r>
        <w:rPr>
          <w:color w:val="404040"/>
          <w:sz w:val="18"/>
        </w:rPr>
        <w:t>If online submission volume is exceeded, remaining technical documents may be sent offline</w:t>
      </w:r>
    </w:p>
    <w:p>
      <w:pPr>
        <w:pStyle w:val="ListBullet"/>
        <w:spacing w:before="20" w:after="20"/>
      </w:pPr>
      <w:r>
        <w:rPr>
          <w:color w:val="404040"/>
          <w:sz w:val="18"/>
        </w:rPr>
        <w:t>Offline submission list must be declared in the electronic bid</w:t>
      </w:r>
    </w:p>
    <w:p/>
    <w:p>
      <w:pPr>
        <w:spacing w:before="160" w:after="80"/>
        <w:pBdr>
          <w:bottom w:val="single" w:sz="8" w:space="2" w:color="2E75B6"/>
        </w:pBdr>
      </w:pPr>
      <w:r>
        <w:rPr>
          <w:b/>
          <w:color w:val="1F3864"/>
          <w:sz w:val="26"/>
        </w:rPr>
        <w:t>6. Evaluation (Article 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/>
        </w:tc>
        <w:tc>
          <w:tcPr>
            <w:tcW w:type="dxa" w:w="5100"/>
          </w:tcPr>
          <w:p/>
        </w:tc>
      </w:tr>
      <w:tr>
        <w:tc>
          <w:tcPr>
            <w:tcW w:type="dxa" w:w="5100"/>
            <w:shd w:val="clear" w:color="auto" w:fill="FFFFFF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8"/>
              </w:rPr>
              <w:t>Phase</w:t>
            </w:r>
          </w:p>
        </w:tc>
        <w:tc>
          <w:tcPr>
            <w:tcW w:type="dxa" w:w="5100"/>
            <w:shd w:val="clear" w:color="auto" w:fill="FFFFFF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8"/>
              </w:rPr>
              <w:t>Activity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Stage 1</w:t>
            </w:r>
          </w:p>
        </w:tc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Administrative compliance + financial guarantee verification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Stage 2</w:t>
            </w:r>
          </w:p>
        </w:tc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Financial offer correction — arithmetic/material errors corrected; ascending price ranking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Stage 3</w:t>
            </w:r>
          </w:p>
        </w:tc>
        <w:tc>
          <w:tcPr>
            <w:tcW w:type="dxa" w:w="51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Lowest evaluated compliant bid wins (Moins-disant)</w:t>
            </w:r>
          </w:p>
        </w:tc>
      </w:tr>
    </w:tbl>
    <w:p/>
    <w:p>
      <w:pPr>
        <w:spacing w:before="160" w:after="80"/>
        <w:pBdr>
          <w:bottom w:val="single" w:sz="8" w:space="2" w:color="2E75B6"/>
        </w:pBdr>
      </w:pPr>
      <w:r>
        <w:rPr>
          <w:b/>
          <w:color w:val="1F3864"/>
          <w:sz w:val="26"/>
        </w:rPr>
        <w:t>7. Key Risks &amp; Observations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c>
          <w:tcPr>
            <w:tcW w:type="dxa" w:w="3400"/>
            <w:shd w:val="clear" w:color="auto" w:fill="FFFFFF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8"/>
              </w:rPr>
              <w:t>#</w:t>
            </w:r>
          </w:p>
        </w:tc>
        <w:tc>
          <w:tcPr>
            <w:tcW w:type="dxa" w:w="3400"/>
            <w:shd w:val="clear" w:color="auto" w:fill="FFFFFF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8"/>
              </w:rPr>
              <w:t>Risk / Observation</w:t>
            </w:r>
          </w:p>
        </w:tc>
        <w:tc>
          <w:tcPr>
            <w:tcW w:type="dxa" w:w="3400"/>
            <w:shd w:val="clear" w:color="auto" w:fill="FFFFFF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8"/>
              </w:rPr>
              <w:t>Severity</w:t>
            </w:r>
          </w:p>
        </w:tc>
      </w:tr>
      <w:tr>
        <w:tc>
          <w:tcPr>
            <w:tcW w:type="dxa" w:w="3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3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120-day bid validity is relatively long — bidders must maintain pricing for 4 months</w:t>
            </w:r>
          </w:p>
        </w:tc>
        <w:tc>
          <w:tcPr>
            <w:tcW w:type="dxa" w:w="3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6600"/>
                <w:sz w:val="18"/>
              </w:rPr>
              <w:t>Medium</w:t>
            </w:r>
          </w:p>
        </w:tc>
      </w:tr>
      <w:tr>
        <w:tc>
          <w:tcPr>
            <w:tcW w:type="dxa" w:w="3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3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Single-lot / 8 items — no partial bid option increases risk for specialist suppliers</w:t>
            </w:r>
          </w:p>
        </w:tc>
        <w:tc>
          <w:tcPr>
            <w:tcW w:type="dxa" w:w="3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C00000"/>
                <w:sz w:val="18"/>
              </w:rPr>
              <w:t>High</w:t>
            </w:r>
          </w:p>
        </w:tc>
      </w:tr>
      <w:tr>
        <w:tc>
          <w:tcPr>
            <w:tcW w:type="dxa" w:w="3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3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5,000 TND temporary guarantee (0.1% of 5M project) is unusually low — potential budget constraint or risk allocation preference</w:t>
            </w:r>
          </w:p>
        </w:tc>
        <w:tc>
          <w:tcPr>
            <w:tcW w:type="dxa" w:w="3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6600"/>
                <w:sz w:val="18"/>
              </w:rPr>
              <w:t>Medium</w:t>
            </w:r>
          </w:p>
        </w:tc>
      </w:tr>
      <w:tr>
        <w:tc>
          <w:tcPr>
            <w:tcW w:type="dxa" w:w="3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4</w:t>
            </w:r>
          </w:p>
        </w:tc>
        <w:tc>
          <w:tcPr>
            <w:tcW w:type="dxa" w:w="3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Out-of-line document submission explicitly permitted — creates administrative complexity</w:t>
            </w:r>
          </w:p>
        </w:tc>
        <w:tc>
          <w:tcPr>
            <w:tcW w:type="dxa" w:w="3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6600"/>
                <w:sz w:val="18"/>
              </w:rPr>
              <w:t>Medium</w:t>
            </w:r>
          </w:p>
        </w:tc>
      </w:tr>
      <w:tr>
        <w:tc>
          <w:tcPr>
            <w:tcW w:type="dxa" w:w="3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5</w:t>
            </w:r>
          </w:p>
        </w:tc>
        <w:tc>
          <w:tcPr>
            <w:tcW w:type="dxa" w:w="3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Non-public bid opening session — reduced transparency in evaluation</w:t>
            </w:r>
          </w:p>
        </w:tc>
        <w:tc>
          <w:tcPr>
            <w:tcW w:type="dxa" w:w="3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6600"/>
                <w:sz w:val="18"/>
              </w:rPr>
              <w:t>Medium</w:t>
            </w:r>
          </w:p>
        </w:tc>
      </w:tr>
      <w:tr>
        <w:tc>
          <w:tcPr>
            <w:tcW w:type="dxa" w:w="3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6</w:t>
            </w:r>
          </w:p>
        </w:tc>
        <w:tc>
          <w:tcPr>
            <w:tcW w:type="dxa" w:w="3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BCT authorization required for foreign currency bids — procedural burden</w:t>
            </w:r>
          </w:p>
        </w:tc>
        <w:tc>
          <w:tcPr>
            <w:tcW w:type="dxa" w:w="3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375623"/>
                <w:sz w:val="18"/>
              </w:rPr>
              <w:t>Low</w:t>
            </w:r>
          </w:p>
        </w:tc>
      </w:tr>
      <w:tr>
        <w:tc>
          <w:tcPr>
            <w:tcW w:type="dxa" w:w="3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7</w:t>
            </w:r>
          </w:p>
        </w:tc>
        <w:tc>
          <w:tcPr>
            <w:tcW w:type="dxa" w:w="3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20-day guarantee release for non-selected bidders — reasonable</w:t>
            </w:r>
          </w:p>
        </w:tc>
        <w:tc>
          <w:tcPr>
            <w:tcW w:type="dxa" w:w="3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375623"/>
                <w:sz w:val="18"/>
              </w:rPr>
              <w:t>Low</w:t>
            </w:r>
          </w:p>
        </w:tc>
      </w:tr>
      <w:tr>
        <w:tc>
          <w:tcPr>
            <w:tcW w:type="dxa" w:w="3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8</w:t>
            </w:r>
          </w:p>
        </w:tc>
        <w:tc>
          <w:tcPr>
            <w:tcW w:type="dxa" w:w="3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color w:val="000000"/>
                <w:sz w:val="18"/>
              </w:rPr>
              <w:t>7-day cure period for missing documents after opening — unusual, potentially bidder-friendly</w:t>
            </w:r>
          </w:p>
        </w:tc>
        <w:tc>
          <w:tcPr>
            <w:tcW w:type="dxa" w:w="34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375623"/>
                <w:sz w:val="18"/>
              </w:rPr>
              <w:t>Low</w:t>
            </w:r>
          </w:p>
        </w:tc>
      </w:tr>
    </w:tbl>
    <w:p/>
    <w:p>
      <w:pPr>
        <w:spacing w:before="80" w:after="120"/>
        <w:pBdr>
          <w:top w:val="single" w:sz="6" w:space="4" w:color="1F3864"/>
          <w:left w:val="single" w:sz="6" w:space="4" w:color="1F3864"/>
          <w:bottom w:val="single" w:sz="6" w:space="4" w:color="1F3864"/>
          <w:right w:val="single" w:sz="6" w:space="4" w:color="1F3864"/>
        </w:pBdr>
        <w:shd w:val="clear" w:color="auto" w:fill="EEF3FA"/>
      </w:pPr>
      <w:r>
        <w:rPr>
          <w:color w:val="404040"/>
          <w:sz w:val="18"/>
        </w:rPr>
        <w:t>This CCAP analysis is for informational purposes. Bidders should verify all conditions against the official Arabic CCAP document before submitting.</w:t>
      </w:r>
    </w:p>
    <w:p>
      <w:pPr>
        <w:jc w:val="center"/>
      </w:pPr>
      <w:r>
        <w:rPr>
          <w:i/>
          <w:color w:val="808080"/>
          <w:sz w:val="16"/>
        </w:rPr>
        <w:t>CCAP Analysis | Tender Ref: 20260301601 | Generated by Tuneps Analyst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