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32"/>
        </w:rPr>
        <w:t>CCTP RELEVANCE ANALYSIS</w:t>
      </w:r>
    </w:p>
    <w:p>
      <w:pPr>
        <w:spacing w:before="0" w:after="200"/>
        <w:jc w:val="center"/>
      </w:pPr>
      <w:r>
        <w:rPr>
          <w:color w:val="2E75B6"/>
          <w:sz w:val="22"/>
        </w:rPr>
        <w:t>Datacenter Modernization — Mutuelle de l'Armée Nationale (Tunisia)</w:t>
      </w:r>
    </w:p>
    <w:p>
      <w:pPr>
        <w:spacing w:before="160" w:after="80"/>
        <w:pBdr>
          <w:bottom w:val="single" w:sz="8" w:space="2" w:color="2E75B6"/>
        </w:pBdr>
      </w:pPr>
      <w:r>
        <w:rPr>
          <w:b/>
          <w:color w:val="1F3864"/>
          <w:sz w:val="26"/>
        </w:rPr>
        <w:t>1. Extraction and Mapping</w:t>
      </w:r>
    </w:p>
    <w:p>
      <w:pPr>
        <w:spacing w:before="40" w:after="80"/>
      </w:pPr>
      <w:r>
        <w:rPr>
          <w:color w:val="404040"/>
          <w:sz w:val="20"/>
        </w:rPr>
        <w:t>The Mutuelle de l'Armée Nationale, operating under the supervision of the Ministry of National Defense of Tunisia, has issued a public tender for the complete modernization of its central datacenter infrastructure. The stated goal of the project is to strengthen service continuity for hosted applications, optimize resource management, and renew the virtualization platform that currently runs on VMware vSphere 8.</w:t>
      </w:r>
    </w:p>
    <w:p>
      <w:pPr>
        <w:spacing w:before="40" w:after="80"/>
      </w:pPr>
      <w:r>
        <w:rPr>
          <w:color w:val="404040"/>
          <w:sz w:val="20"/>
        </w:rPr>
        <w:t>The tender takes the form of a single contract composed of eight indissociable items covering compute, storage, backup, networking, security, and physical infrastructure. The successful bidder must deliver a turnkey solution that includes hardware, software, services, and post-sale support. The execution period is 120 days from contract approval. The existing VMware vSphere 8 platform must be migrated to the new solution as part of the project scope.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1F3864"/>
          </w:tcPr>
          <w:p>
            <w:pPr>
              <w:spacing w:before="40" w:after="40"/>
              <w:jc w:val="left"/>
            </w:pPr>
            <w:r/>
            <w:r>
              <w:rPr>
                <w:b/>
                <w:color w:val="2E75B6"/>
                <w:sz w:val="18"/>
              </w:rPr>
              <w:t>#</w:t>
            </w:r>
          </w:p>
        </w:tc>
        <w:tc>
          <w:tcPr>
            <w:tcW w:type="dxa" w:w="2550"/>
            <w:shd w:val="clear" w:color="auto" w:fill="1F3864"/>
          </w:tcPr>
          <w:p>
            <w:pPr>
              <w:spacing w:before="40" w:after="40"/>
              <w:jc w:val="left"/>
            </w:pPr>
            <w:r/>
            <w:r>
              <w:rPr>
                <w:b/>
                <w:color w:val="2E75B6"/>
                <w:sz w:val="18"/>
              </w:rPr>
              <w:t>Item</w:t>
            </w:r>
          </w:p>
        </w:tc>
        <w:tc>
          <w:tcPr>
            <w:tcW w:type="dxa" w:w="2550"/>
            <w:shd w:val="clear" w:color="auto" w:fill="1F3864"/>
          </w:tcPr>
          <w:p>
            <w:pPr>
              <w:spacing w:before="40" w:after="40"/>
              <w:jc w:val="left"/>
            </w:pPr>
            <w:r/>
            <w:r>
              <w:rPr>
                <w:b/>
                <w:color w:val="2E75B6"/>
                <w:sz w:val="18"/>
              </w:rPr>
              <w:t>Qty</w:t>
            </w:r>
          </w:p>
        </w:tc>
        <w:tc>
          <w:tcPr>
            <w:tcW w:type="dxa" w:w="2550"/>
            <w:shd w:val="clear" w:color="auto" w:fill="1F3864"/>
          </w:tcPr>
          <w:p>
            <w:pPr>
              <w:spacing w:before="40" w:after="40"/>
              <w:jc w:val="left"/>
            </w:pPr>
            <w:r/>
            <w:r>
              <w:rPr>
                <w:b/>
                <w:color w:val="2E75B6"/>
                <w:sz w:val="18"/>
              </w:rPr>
              <w:t>Category</w:t>
            </w:r>
          </w:p>
        </w:tc>
      </w:tr>
      <w:tr>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Virtualization servers</w:t>
            </w:r>
          </w:p>
        </w:tc>
        <w:tc>
          <w:tcPr>
            <w:tcW w:type="dxa" w:w="2550"/>
            <w:shd w:val="clear" w:color="auto" w:fill="FFFFFF"/>
          </w:tcPr>
          <w:p>
            <w:pPr>
              <w:spacing w:before="40" w:after="40"/>
              <w:jc w:val="left"/>
            </w:pPr>
            <w:r/>
            <w:r>
              <w:rPr>
                <w:color w:val="000000"/>
                <w:sz w:val="18"/>
              </w:rPr>
              <w:t>3</w:t>
            </w:r>
          </w:p>
        </w:tc>
        <w:tc>
          <w:tcPr>
            <w:tcW w:type="dxa" w:w="2550"/>
            <w:shd w:val="clear" w:color="auto" w:fill="FFFFFF"/>
          </w:tcPr>
          <w:p>
            <w:pPr>
              <w:spacing w:before="40" w:after="40"/>
              <w:jc w:val="left"/>
            </w:pPr>
            <w:r/>
            <w:r>
              <w:rPr>
                <w:color w:val="000000"/>
                <w:sz w:val="18"/>
              </w:rPr>
              <w:t>Compute</w:t>
            </w:r>
          </w:p>
        </w:tc>
      </w:tr>
      <w:tr>
        <w:tc>
          <w:tcPr>
            <w:tcW w:type="dxa" w:w="2550"/>
            <w:shd w:val="clear" w:color="auto" w:fill="FFFFFF"/>
          </w:tcPr>
          <w:p>
            <w:pPr>
              <w:spacing w:before="40" w:after="40"/>
              <w:jc w:val="left"/>
            </w:pPr>
            <w:r/>
            <w:r>
              <w:rPr>
                <w:color w:val="000000"/>
                <w:sz w:val="18"/>
              </w:rPr>
              <w:t>2</w:t>
            </w:r>
          </w:p>
        </w:tc>
        <w:tc>
          <w:tcPr>
            <w:tcW w:type="dxa" w:w="2550"/>
            <w:shd w:val="clear" w:color="auto" w:fill="FFFFFF"/>
          </w:tcPr>
          <w:p>
            <w:pPr>
              <w:spacing w:before="40" w:after="40"/>
              <w:jc w:val="left"/>
            </w:pPr>
            <w:r/>
            <w:r>
              <w:rPr>
                <w:color w:val="000000"/>
                <w:sz w:val="18"/>
              </w:rPr>
              <w:t>Virtualization software</w:t>
            </w:r>
          </w:p>
        </w:tc>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Hypervisor</w:t>
            </w:r>
          </w:p>
        </w:tc>
      </w:tr>
      <w:tr>
        <w:tc>
          <w:tcPr>
            <w:tcW w:type="dxa" w:w="2550"/>
            <w:shd w:val="clear" w:color="auto" w:fill="FFFFFF"/>
          </w:tcPr>
          <w:p>
            <w:pPr>
              <w:spacing w:before="40" w:after="40"/>
              <w:jc w:val="left"/>
            </w:pPr>
            <w:r/>
            <w:r>
              <w:rPr>
                <w:color w:val="000000"/>
                <w:sz w:val="18"/>
              </w:rPr>
              <w:t>3</w:t>
            </w:r>
          </w:p>
        </w:tc>
        <w:tc>
          <w:tcPr>
            <w:tcW w:type="dxa" w:w="2550"/>
            <w:shd w:val="clear" w:color="auto" w:fill="FFFFFF"/>
          </w:tcPr>
          <w:p>
            <w:pPr>
              <w:spacing w:before="40" w:after="40"/>
              <w:jc w:val="left"/>
            </w:pPr>
            <w:r/>
            <w:r>
              <w:rPr>
                <w:color w:val="000000"/>
                <w:sz w:val="18"/>
              </w:rPr>
              <w:t>Storage array</w:t>
            </w:r>
          </w:p>
        </w:tc>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Storage</w:t>
            </w:r>
          </w:p>
        </w:tc>
      </w:tr>
      <w:tr>
        <w:tc>
          <w:tcPr>
            <w:tcW w:type="dxa" w:w="2550"/>
            <w:shd w:val="clear" w:color="auto" w:fill="FFFFFF"/>
          </w:tcPr>
          <w:p>
            <w:pPr>
              <w:spacing w:before="40" w:after="40"/>
              <w:jc w:val="left"/>
            </w:pPr>
            <w:r/>
            <w:r>
              <w:rPr>
                <w:color w:val="000000"/>
                <w:sz w:val="18"/>
              </w:rPr>
              <w:t>4</w:t>
            </w:r>
          </w:p>
        </w:tc>
        <w:tc>
          <w:tcPr>
            <w:tcW w:type="dxa" w:w="2550"/>
            <w:shd w:val="clear" w:color="auto" w:fill="FFFFFF"/>
          </w:tcPr>
          <w:p>
            <w:pPr>
              <w:spacing w:before="40" w:after="40"/>
              <w:jc w:val="left"/>
            </w:pPr>
            <w:r/>
            <w:r>
              <w:rPr>
                <w:color w:val="000000"/>
                <w:sz w:val="18"/>
              </w:rPr>
              <w:t>Backup server</w:t>
            </w:r>
          </w:p>
        </w:tc>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Compute</w:t>
            </w:r>
          </w:p>
        </w:tc>
      </w:tr>
      <w:tr>
        <w:tc>
          <w:tcPr>
            <w:tcW w:type="dxa" w:w="2550"/>
            <w:shd w:val="clear" w:color="auto" w:fill="FFFFFF"/>
          </w:tcPr>
          <w:p>
            <w:pPr>
              <w:spacing w:before="40" w:after="40"/>
              <w:jc w:val="left"/>
            </w:pPr>
            <w:r/>
            <w:r>
              <w:rPr>
                <w:color w:val="000000"/>
                <w:sz w:val="18"/>
              </w:rPr>
              <w:t>5</w:t>
            </w:r>
          </w:p>
        </w:tc>
        <w:tc>
          <w:tcPr>
            <w:tcW w:type="dxa" w:w="2550"/>
            <w:shd w:val="clear" w:color="auto" w:fill="FFFFFF"/>
          </w:tcPr>
          <w:p>
            <w:pPr>
              <w:spacing w:before="40" w:after="40"/>
              <w:jc w:val="left"/>
            </w:pPr>
            <w:r/>
            <w:r>
              <w:rPr>
                <w:color w:val="000000"/>
                <w:sz w:val="18"/>
              </w:rPr>
              <w:t>Backup software</w:t>
            </w:r>
          </w:p>
        </w:tc>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Data protection</w:t>
            </w:r>
          </w:p>
        </w:tc>
      </w:tr>
      <w:tr>
        <w:tc>
          <w:tcPr>
            <w:tcW w:type="dxa" w:w="2550"/>
            <w:shd w:val="clear" w:color="auto" w:fill="FFFFFF"/>
          </w:tcPr>
          <w:p>
            <w:pPr>
              <w:spacing w:before="40" w:after="40"/>
              <w:jc w:val="left"/>
            </w:pPr>
            <w:r/>
            <w:r>
              <w:rPr>
                <w:color w:val="000000"/>
                <w:sz w:val="18"/>
              </w:rPr>
              <w:t>6</w:t>
            </w:r>
          </w:p>
        </w:tc>
        <w:tc>
          <w:tcPr>
            <w:tcW w:type="dxa" w:w="2550"/>
            <w:shd w:val="clear" w:color="auto" w:fill="FFFFFF"/>
          </w:tcPr>
          <w:p>
            <w:pPr>
              <w:spacing w:before="40" w:after="40"/>
              <w:jc w:val="left"/>
            </w:pPr>
            <w:r/>
            <w:r>
              <w:rPr>
                <w:color w:val="000000"/>
                <w:sz w:val="18"/>
              </w:rPr>
              <w:t>Datacenter switches</w:t>
            </w:r>
          </w:p>
        </w:tc>
        <w:tc>
          <w:tcPr>
            <w:tcW w:type="dxa" w:w="2550"/>
            <w:shd w:val="clear" w:color="auto" w:fill="FFFFFF"/>
          </w:tcPr>
          <w:p>
            <w:pPr>
              <w:spacing w:before="40" w:after="40"/>
              <w:jc w:val="left"/>
            </w:pPr>
            <w:r/>
            <w:r>
              <w:rPr>
                <w:color w:val="000000"/>
                <w:sz w:val="18"/>
              </w:rPr>
              <w:t>2</w:t>
            </w:r>
          </w:p>
        </w:tc>
        <w:tc>
          <w:tcPr>
            <w:tcW w:type="dxa" w:w="2550"/>
            <w:shd w:val="clear" w:color="auto" w:fill="FFFFFF"/>
          </w:tcPr>
          <w:p>
            <w:pPr>
              <w:spacing w:before="40" w:after="40"/>
              <w:jc w:val="left"/>
            </w:pPr>
            <w:r/>
            <w:r>
              <w:rPr>
                <w:color w:val="000000"/>
                <w:sz w:val="18"/>
              </w:rPr>
              <w:t>Network</w:t>
            </w:r>
          </w:p>
        </w:tc>
      </w:tr>
      <w:tr>
        <w:tc>
          <w:tcPr>
            <w:tcW w:type="dxa" w:w="2550"/>
            <w:shd w:val="clear" w:color="auto" w:fill="FFFFFF"/>
          </w:tcPr>
          <w:p>
            <w:pPr>
              <w:spacing w:before="40" w:after="40"/>
              <w:jc w:val="left"/>
            </w:pPr>
            <w:r/>
            <w:r>
              <w:rPr>
                <w:color w:val="000000"/>
                <w:sz w:val="18"/>
              </w:rPr>
              <w:t>7</w:t>
            </w:r>
          </w:p>
        </w:tc>
        <w:tc>
          <w:tcPr>
            <w:tcW w:type="dxa" w:w="2550"/>
            <w:shd w:val="clear" w:color="auto" w:fill="FFFFFF"/>
          </w:tcPr>
          <w:p>
            <w:pPr>
              <w:spacing w:before="40" w:after="40"/>
              <w:jc w:val="left"/>
            </w:pPr>
            <w:r/>
            <w:r>
              <w:rPr>
                <w:color w:val="000000"/>
                <w:sz w:val="18"/>
              </w:rPr>
              <w:t>Firewall appliances</w:t>
            </w:r>
          </w:p>
        </w:tc>
        <w:tc>
          <w:tcPr>
            <w:tcW w:type="dxa" w:w="2550"/>
            <w:shd w:val="clear" w:color="auto" w:fill="FFFFFF"/>
          </w:tcPr>
          <w:p>
            <w:pPr>
              <w:spacing w:before="40" w:after="40"/>
              <w:jc w:val="left"/>
            </w:pPr>
            <w:r/>
            <w:r>
              <w:rPr>
                <w:color w:val="000000"/>
                <w:sz w:val="18"/>
              </w:rPr>
              <w:t>2</w:t>
            </w:r>
          </w:p>
        </w:tc>
        <w:tc>
          <w:tcPr>
            <w:tcW w:type="dxa" w:w="2550"/>
            <w:shd w:val="clear" w:color="auto" w:fill="FFFFFF"/>
          </w:tcPr>
          <w:p>
            <w:pPr>
              <w:spacing w:before="40" w:after="40"/>
              <w:jc w:val="left"/>
            </w:pPr>
            <w:r/>
            <w:r>
              <w:rPr>
                <w:color w:val="000000"/>
                <w:sz w:val="18"/>
              </w:rPr>
              <w:t>Security</w:t>
            </w:r>
          </w:p>
        </w:tc>
      </w:tr>
      <w:tr>
        <w:tc>
          <w:tcPr>
            <w:tcW w:type="dxa" w:w="2550"/>
            <w:shd w:val="clear" w:color="auto" w:fill="FFFFFF"/>
          </w:tcPr>
          <w:p>
            <w:pPr>
              <w:spacing w:before="40" w:after="40"/>
              <w:jc w:val="left"/>
            </w:pPr>
            <w:r/>
            <w:r>
              <w:rPr>
                <w:color w:val="000000"/>
                <w:sz w:val="18"/>
              </w:rPr>
              <w:t>8</w:t>
            </w:r>
          </w:p>
        </w:tc>
        <w:tc>
          <w:tcPr>
            <w:tcW w:type="dxa" w:w="2550"/>
            <w:shd w:val="clear" w:color="auto" w:fill="FFFFFF"/>
          </w:tcPr>
          <w:p>
            <w:pPr>
              <w:spacing w:before="40" w:after="40"/>
              <w:jc w:val="left"/>
            </w:pPr>
            <w:r/>
            <w:r>
              <w:rPr>
                <w:color w:val="000000"/>
                <w:sz w:val="18"/>
              </w:rPr>
              <w:t>Rack cabinet 42U</w:t>
            </w:r>
          </w:p>
        </w:tc>
        <w:tc>
          <w:tcPr>
            <w:tcW w:type="dxa" w:w="2550"/>
            <w:shd w:val="clear" w:color="auto" w:fill="FFFFFF"/>
          </w:tcPr>
          <w:p>
            <w:pPr>
              <w:spacing w:before="40" w:after="40"/>
              <w:jc w:val="left"/>
            </w:pPr>
            <w:r/>
            <w:r>
              <w:rPr>
                <w:color w:val="000000"/>
                <w:sz w:val="18"/>
              </w:rPr>
              <w:t>1</w:t>
            </w:r>
          </w:p>
        </w:tc>
        <w:tc>
          <w:tcPr>
            <w:tcW w:type="dxa" w:w="2550"/>
            <w:shd w:val="clear" w:color="auto" w:fill="FFFFFF"/>
          </w:tcPr>
          <w:p>
            <w:pPr>
              <w:spacing w:before="40" w:after="40"/>
              <w:jc w:val="left"/>
            </w:pPr>
            <w:r/>
            <w:r>
              <w:rPr>
                <w:color w:val="000000"/>
                <w:sz w:val="18"/>
              </w:rPr>
              <w:t>Infrastructure</w:t>
            </w:r>
          </w:p>
        </w:tc>
      </w:tr>
    </w:tbl>
    <w:p/>
    <w:p>
      <w:pPr>
        <w:spacing w:before="40" w:after="40"/>
      </w:pPr>
      <w:r>
        <w:rPr>
          <w:b/>
          <w:color w:val="404040"/>
          <w:sz w:val="20"/>
        </w:rPr>
        <w:t>Included services:</w:t>
      </w:r>
    </w:p>
    <w:p>
      <w:pPr>
        <w:spacing w:before="40" w:after="80"/>
      </w:pPr>
      <w:r>
        <w:rPr>
          <w:color w:val="404040"/>
          <w:sz w:val="20"/>
        </w:rPr>
        <w:t>Beyond the supply of equipment and software, the successful bidder is responsible for the complete deployment and operational handover of the new datacenter platform. The scope of services includes the following:</w:t>
      </w:r>
    </w:p>
    <w:p>
      <w:pPr>
        <w:pStyle w:val="ListParagraph"/>
        <w:spacing w:before="20" w:after="20"/>
      </w:pPr>
      <w:r>
        <w:rPr>
          <w:color w:val="404040"/>
          <w:sz w:val="20"/>
        </w:rPr>
        <w:t>Physical installation, racking, and cabling of all hardware components in the client's premises</w:t>
      </w:r>
    </w:p>
    <w:p>
      <w:pPr>
        <w:pStyle w:val="ListParagraph"/>
        <w:spacing w:before="20" w:after="20"/>
      </w:pPr>
      <w:r>
        <w:rPr>
          <w:color w:val="404040"/>
          <w:sz w:val="20"/>
        </w:rPr>
        <w:t>Configuration of servers, storage array, hypervisor cluster, switches, firewalls, and backup environment</w:t>
      </w:r>
    </w:p>
    <w:p>
      <w:pPr>
        <w:pStyle w:val="ListParagraph"/>
        <w:spacing w:before="20" w:after="20"/>
      </w:pPr>
      <w:r>
        <w:rPr>
          <w:color w:val="404040"/>
          <w:sz w:val="20"/>
        </w:rPr>
        <w:t>Live migration of all virtual machines and associated data from the existing VMware vSphere 8 platform to the new hypervisor, without service interruption</w:t>
      </w:r>
    </w:p>
    <w:p>
      <w:pPr>
        <w:pStyle w:val="ListParagraph"/>
        <w:spacing w:before="20" w:after="20"/>
      </w:pPr>
      <w:r>
        <w:rPr>
          <w:color w:val="404040"/>
          <w:sz w:val="20"/>
        </w:rPr>
        <w:t>Functional and performance testing of the integrated solution under the client's supervision before go-live</w:t>
      </w:r>
    </w:p>
    <w:p>
      <w:pPr>
        <w:pStyle w:val="ListParagraph"/>
        <w:spacing w:before="20" w:after="20"/>
      </w:pPr>
      <w:r>
        <w:rPr>
          <w:color w:val="404040"/>
          <w:sz w:val="20"/>
        </w:rPr>
        <w:t>Two certifying trainings of five working days each, for six staff members per session, delivered in an accredited training center by certified trainers — one training on the proposed virtualization solution, the other on the proposed backup solution</w:t>
      </w:r>
    </w:p>
    <w:p>
      <w:pPr>
        <w:pStyle w:val="ListParagraph"/>
        <w:spacing w:before="20" w:after="20"/>
      </w:pPr>
      <w:r>
        <w:rPr>
          <w:color w:val="404040"/>
          <w:sz w:val="20"/>
        </w:rPr>
        <w:t>Complete technical documentation in French or English, including installation procedures, configuration files, operating procedures (backup, restore, startup, shutdown), and a configuration dossier that must be maintained throughout the project lifecycle</w:t>
      </w:r>
    </w:p>
    <w:p>
      <w:pPr>
        <w:pStyle w:val="ListParagraph"/>
        <w:spacing w:before="20" w:after="20"/>
      </w:pPr>
      <w:r>
        <w:rPr>
          <w:color w:val="404040"/>
          <w:sz w:val="20"/>
        </w:rPr>
        <w:t>Knowledge transfer to the client's technical teams during all interventions</w:t>
      </w:r>
    </w:p>
    <w:p>
      <w:pPr>
        <w:pStyle w:val="ListParagraph"/>
        <w:spacing w:before="20" w:after="20"/>
      </w:pPr>
      <w:r>
        <w:rPr>
          <w:color w:val="404040"/>
          <w:sz w:val="20"/>
        </w:rPr>
        <w:t>Two years of 24/7 manufacturer support, including firmware updates, software patches, and security corrections</w:t>
      </w:r>
    </w:p>
    <w:p/>
    <w:p>
      <w:pPr>
        <w:spacing w:before="160" w:after="80"/>
        <w:pBdr>
          <w:bottom w:val="single" w:sz="8" w:space="2" w:color="2E75B6"/>
        </w:pBdr>
      </w:pPr>
      <w:r>
        <w:rPr>
          <w:b/>
          <w:color w:val="1F3864"/>
          <w:sz w:val="26"/>
        </w:rPr>
        <w:t>2. Qualification Requirements</w:t>
      </w:r>
    </w:p>
    <w:p>
      <w:pPr>
        <w:spacing w:before="40" w:after="80"/>
      </w:pPr>
      <w:r>
        <w:rPr>
          <w:color w:val="404040"/>
          <w:sz w:val="20"/>
        </w:rPr>
        <w:t>Technical and product-related conditions defined in the CCTP that a bidder must satisfy to be eligible. Failure on any line means automatic disqualification at the technical evaluation stage.</w:t>
      </w:r>
    </w:p>
    <w:tbl>
      <w:tblPr>
        <w:tblStyle w:val="TableGrid"/>
        <w:tblW w:type="auto" w:w="0"/>
        <w:tblLook w:firstColumn="1" w:firstRow="1" w:lastColumn="0" w:lastRow="0" w:noHBand="0" w:noVBand="1" w:val="04A0"/>
      </w:tblPr>
      <w:tblGrid>
        <w:gridCol w:w="5100"/>
        <w:gridCol w:w="5100"/>
      </w:tblGrid>
      <w:tr>
        <w:tc>
          <w:tcPr>
            <w:tcW w:type="dxa" w:w="5100"/>
            <w:shd w:val="clear" w:color="auto" w:fill="1F3864"/>
          </w:tcPr>
          <w:p>
            <w:pPr>
              <w:spacing w:before="40" w:after="40"/>
              <w:jc w:val="left"/>
            </w:pPr>
            <w:r/>
            <w:r>
              <w:rPr>
                <w:b/>
                <w:color w:val="2E75B6"/>
                <w:sz w:val="18"/>
              </w:rPr>
              <w:t>Category</w:t>
            </w:r>
          </w:p>
        </w:tc>
        <w:tc>
          <w:tcPr>
            <w:tcW w:type="dxa" w:w="5100"/>
            <w:shd w:val="clear" w:color="auto" w:fill="1F3864"/>
          </w:tcPr>
          <w:p>
            <w:pPr>
              <w:spacing w:before="40" w:after="40"/>
              <w:jc w:val="left"/>
            </w:pPr>
            <w:r/>
            <w:r>
              <w:rPr>
                <w:b/>
                <w:color w:val="2E75B6"/>
                <w:sz w:val="18"/>
              </w:rPr>
              <w:t>Requirement</w:t>
            </w:r>
          </w:p>
        </w:tc>
      </w:tr>
      <w:tr>
        <w:tc>
          <w:tcPr>
            <w:tcW w:type="dxa" w:w="5100"/>
            <w:shd w:val="clear" w:color="auto" w:fill="FFFFFF"/>
          </w:tcPr>
          <w:p>
            <w:pPr>
              <w:spacing w:before="40" w:after="40"/>
              <w:jc w:val="left"/>
            </w:pPr>
            <w:r/>
            <w:r>
              <w:rPr>
                <w:color w:val="000000"/>
                <w:sz w:val="18"/>
              </w:rPr>
              <w:t>Manufacturer authorisation</w:t>
            </w:r>
          </w:p>
        </w:tc>
        <w:tc>
          <w:tcPr>
            <w:tcW w:type="dxa" w:w="5100"/>
            <w:shd w:val="clear" w:color="auto" w:fill="FFFFFF"/>
          </w:tcPr>
          <w:p>
            <w:pPr>
              <w:spacing w:before="40" w:after="40"/>
              <w:jc w:val="left"/>
            </w:pPr>
            <w:r/>
            <w:r>
              <w:rPr>
                <w:color w:val="000000"/>
                <w:sz w:val="18"/>
              </w:rPr>
              <w:t>MAF letter required for servers and storage array</w:t>
            </w:r>
          </w:p>
        </w:tc>
      </w:tr>
      <w:tr>
        <w:tc>
          <w:tcPr>
            <w:tcW w:type="dxa" w:w="5100"/>
            <w:shd w:val="clear" w:color="auto" w:fill="FFFFFF"/>
          </w:tcPr>
          <w:p>
            <w:pPr>
              <w:spacing w:before="40" w:after="40"/>
              <w:jc w:val="left"/>
            </w:pPr>
            <w:r/>
            <w:r>
              <w:rPr>
                <w:color w:val="000000"/>
                <w:sz w:val="18"/>
              </w:rPr>
              <w:t>Brand constraint</w:t>
            </w:r>
          </w:p>
        </w:tc>
        <w:tc>
          <w:tcPr>
            <w:tcW w:type="dxa" w:w="5100"/>
            <w:shd w:val="clear" w:color="auto" w:fill="FFFFFF"/>
          </w:tcPr>
          <w:p>
            <w:pPr>
              <w:spacing w:before="40" w:after="40"/>
              <w:jc w:val="left"/>
            </w:pPr>
            <w:r/>
            <w:r>
              <w:rPr>
                <w:color w:val="000000"/>
                <w:sz w:val="18"/>
              </w:rPr>
              <w:t>Servers, storage, and backup server must be from the same manufacturer</w:t>
            </w:r>
          </w:p>
        </w:tc>
      </w:tr>
      <w:tr>
        <w:tc>
          <w:tcPr>
            <w:tcW w:type="dxa" w:w="5100"/>
            <w:shd w:val="clear" w:color="auto" w:fill="FFFFFF"/>
          </w:tcPr>
          <w:p>
            <w:pPr>
              <w:spacing w:before="40" w:after="40"/>
              <w:jc w:val="left"/>
            </w:pPr>
            <w:r/>
            <w:r>
              <w:rPr>
                <w:color w:val="000000"/>
                <w:sz w:val="18"/>
              </w:rPr>
              <w:t>Firewall vendor</w:t>
            </w:r>
          </w:p>
        </w:tc>
        <w:tc>
          <w:tcPr>
            <w:tcW w:type="dxa" w:w="5100"/>
            <w:shd w:val="clear" w:color="auto" w:fill="FFFFFF"/>
          </w:tcPr>
          <w:p>
            <w:pPr>
              <w:spacing w:before="40" w:after="40"/>
              <w:jc w:val="left"/>
            </w:pPr>
            <w:r/>
            <w:r>
              <w:rPr>
                <w:color w:val="000000"/>
                <w:sz w:val="18"/>
              </w:rPr>
              <w:t>Must be listed in latest Gartner Magic Quadrant for Network Firewalls</w:t>
            </w:r>
          </w:p>
        </w:tc>
      </w:tr>
      <w:tr>
        <w:tc>
          <w:tcPr>
            <w:tcW w:type="dxa" w:w="5100"/>
            <w:shd w:val="clear" w:color="auto" w:fill="FFFFFF"/>
          </w:tcPr>
          <w:p>
            <w:pPr>
              <w:spacing w:before="40" w:after="40"/>
              <w:jc w:val="left"/>
            </w:pPr>
            <w:r/>
            <w:r>
              <w:rPr>
                <w:color w:val="000000"/>
                <w:sz w:val="18"/>
              </w:rPr>
              <w:t>Firewall certification</w:t>
            </w:r>
          </w:p>
        </w:tc>
        <w:tc>
          <w:tcPr>
            <w:tcW w:type="dxa" w:w="5100"/>
            <w:shd w:val="clear" w:color="auto" w:fill="FFFFFF"/>
          </w:tcPr>
          <w:p>
            <w:pPr>
              <w:spacing w:before="40" w:after="40"/>
              <w:jc w:val="left"/>
            </w:pPr>
            <w:r/>
            <w:r>
              <w:rPr>
                <w:color w:val="000000"/>
                <w:sz w:val="18"/>
              </w:rPr>
              <w:t>Common Criteria EAL 4+ or ICSA Labs</w:t>
            </w:r>
          </w:p>
        </w:tc>
      </w:tr>
      <w:tr>
        <w:tc>
          <w:tcPr>
            <w:tcW w:type="dxa" w:w="5100"/>
            <w:shd w:val="clear" w:color="auto" w:fill="FFFFFF"/>
          </w:tcPr>
          <w:p>
            <w:pPr>
              <w:spacing w:before="40" w:after="40"/>
              <w:jc w:val="left"/>
            </w:pPr>
            <w:r/>
            <w:r>
              <w:rPr>
                <w:color w:val="000000"/>
                <w:sz w:val="18"/>
              </w:rPr>
              <w:t>Hardware certifications</w:t>
            </w:r>
          </w:p>
        </w:tc>
        <w:tc>
          <w:tcPr>
            <w:tcW w:type="dxa" w:w="5100"/>
            <w:shd w:val="clear" w:color="auto" w:fill="FFFFFF"/>
          </w:tcPr>
          <w:p>
            <w:pPr>
              <w:spacing w:before="40" w:after="40"/>
              <w:jc w:val="left"/>
            </w:pPr>
            <w:r/>
            <w:r>
              <w:rPr>
                <w:color w:val="000000"/>
                <w:sz w:val="18"/>
              </w:rPr>
              <w:t>ISO 9001:2015 and EN 62368, EN 55032, EN 55035 (or equivalent)</w:t>
            </w:r>
          </w:p>
        </w:tc>
      </w:tr>
      <w:tr>
        <w:tc>
          <w:tcPr>
            <w:tcW w:type="dxa" w:w="5100"/>
            <w:shd w:val="clear" w:color="auto" w:fill="FFFFFF"/>
          </w:tcPr>
          <w:p>
            <w:pPr>
              <w:spacing w:before="40" w:after="40"/>
              <w:jc w:val="left"/>
            </w:pPr>
            <w:r/>
            <w:r>
              <w:rPr>
                <w:color w:val="000000"/>
                <w:sz w:val="18"/>
              </w:rPr>
              <w:t>Training capability</w:t>
            </w:r>
          </w:p>
        </w:tc>
        <w:tc>
          <w:tcPr>
            <w:tcW w:type="dxa" w:w="5100"/>
            <w:shd w:val="clear" w:color="auto" w:fill="FFFFFF"/>
          </w:tcPr>
          <w:p>
            <w:pPr>
              <w:spacing w:before="40" w:after="40"/>
              <w:jc w:val="left"/>
            </w:pPr>
            <w:r/>
            <w:r>
              <w:rPr>
                <w:color w:val="000000"/>
                <w:sz w:val="18"/>
              </w:rPr>
              <w:t>Accredited training center with certified trainers (CVs to be provided)</w:t>
            </w:r>
          </w:p>
        </w:tc>
      </w:tr>
      <w:tr>
        <w:tc>
          <w:tcPr>
            <w:tcW w:type="dxa" w:w="5100"/>
            <w:shd w:val="clear" w:color="auto" w:fill="FFFFFF"/>
          </w:tcPr>
          <w:p>
            <w:pPr>
              <w:spacing w:before="40" w:after="40"/>
              <w:jc w:val="left"/>
            </w:pPr>
            <w:r/>
            <w:r>
              <w:rPr>
                <w:color w:val="000000"/>
                <w:sz w:val="18"/>
              </w:rPr>
              <w:t>Support capability</w:t>
            </w:r>
          </w:p>
        </w:tc>
        <w:tc>
          <w:tcPr>
            <w:tcW w:type="dxa" w:w="5100"/>
            <w:shd w:val="clear" w:color="auto" w:fill="FFFFFF"/>
          </w:tcPr>
          <w:p>
            <w:pPr>
              <w:spacing w:before="40" w:after="40"/>
              <w:jc w:val="left"/>
            </w:pPr>
            <w:r/>
            <w:r>
              <w:rPr>
                <w:color w:val="000000"/>
                <w:sz w:val="18"/>
              </w:rPr>
              <w:t>2-year manufacturer support, 24/7, on all hardware and software</w:t>
            </w:r>
          </w:p>
        </w:tc>
      </w:tr>
      <w:tr>
        <w:tc>
          <w:tcPr>
            <w:tcW w:type="dxa" w:w="5100"/>
            <w:shd w:val="clear" w:color="auto" w:fill="FFFFFF"/>
          </w:tcPr>
          <w:p>
            <w:pPr>
              <w:spacing w:before="40" w:after="40"/>
              <w:jc w:val="left"/>
            </w:pPr>
            <w:r/>
            <w:r>
              <w:rPr>
                <w:color w:val="000000"/>
                <w:sz w:val="18"/>
              </w:rPr>
              <w:t>Documentation</w:t>
            </w:r>
          </w:p>
        </w:tc>
        <w:tc>
          <w:tcPr>
            <w:tcW w:type="dxa" w:w="5100"/>
            <w:shd w:val="clear" w:color="auto" w:fill="FFFFFF"/>
          </w:tcPr>
          <w:p>
            <w:pPr>
              <w:spacing w:before="40" w:after="40"/>
              <w:jc w:val="left"/>
            </w:pPr>
            <w:r/>
            <w:r>
              <w:rPr>
                <w:color w:val="000000"/>
                <w:sz w:val="18"/>
              </w:rPr>
              <w:t>Full technical documentation in French or English, free updates</w:t>
            </w:r>
          </w:p>
        </w:tc>
      </w:tr>
    </w:tbl>
    <w:p/>
    <w:p>
      <w:pPr>
        <w:spacing w:before="160" w:after="80"/>
        <w:pBdr>
          <w:bottom w:val="single" w:sz="8" w:space="2" w:color="2E75B6"/>
        </w:pBdr>
      </w:pPr>
      <w:r>
        <w:rPr>
          <w:b/>
          <w:color w:val="1F3864"/>
          <w:sz w:val="26"/>
        </w:rPr>
        <w:t>3. Technical Demand Summary</w:t>
      </w:r>
    </w:p>
    <w:p>
      <w:pPr>
        <w:spacing w:before="40" w:after="80"/>
      </w:pPr>
      <w:r>
        <w:rPr>
          <w:color w:val="404040"/>
          <w:sz w:val="20"/>
        </w:rPr>
        <w:t>Headline technical demands per item. Detailed specifications are in the CCTP source document.</w:t>
      </w:r>
    </w:p>
    <w:tbl>
      <w:tblPr>
        <w:tblStyle w:val="TableGrid"/>
        <w:tblW w:type="auto" w:w="0"/>
        <w:tblLook w:firstColumn="1" w:firstRow="1" w:lastColumn="0" w:lastRow="0" w:noHBand="0" w:noVBand="1" w:val="04A0"/>
      </w:tblPr>
      <w:tblGrid>
        <w:gridCol w:w="5100"/>
        <w:gridCol w:w="5100"/>
      </w:tblGrid>
      <w:tr>
        <w:tc>
          <w:tcPr>
            <w:tcW w:type="dxa" w:w="5100"/>
            <w:shd w:val="clear" w:color="auto" w:fill="1F3864"/>
          </w:tcPr>
          <w:p>
            <w:pPr>
              <w:spacing w:before="40" w:after="40"/>
              <w:jc w:val="left"/>
            </w:pPr>
            <w:r/>
            <w:r>
              <w:rPr>
                <w:b/>
                <w:color w:val="2E75B6"/>
                <w:sz w:val="18"/>
              </w:rPr>
              <w:t>Item</w:t>
            </w:r>
          </w:p>
        </w:tc>
        <w:tc>
          <w:tcPr>
            <w:tcW w:type="dxa" w:w="5100"/>
            <w:shd w:val="clear" w:color="auto" w:fill="1F3864"/>
          </w:tcPr>
          <w:p>
            <w:pPr>
              <w:spacing w:before="40" w:after="40"/>
              <w:jc w:val="left"/>
            </w:pPr>
            <w:r/>
            <w:r>
              <w:rPr>
                <w:b/>
                <w:color w:val="2E75B6"/>
                <w:sz w:val="18"/>
              </w:rPr>
              <w:t>Key Demands</w:t>
            </w:r>
          </w:p>
        </w:tc>
      </w:tr>
      <w:tr>
        <w:tc>
          <w:tcPr>
            <w:tcW w:type="dxa" w:w="5100"/>
            <w:shd w:val="clear" w:color="auto" w:fill="FFFFFF"/>
          </w:tcPr>
          <w:p>
            <w:pPr>
              <w:spacing w:before="40" w:after="40"/>
              <w:jc w:val="left"/>
            </w:pPr>
            <w:r/>
            <w:r>
              <w:rPr>
                <w:color w:val="000000"/>
                <w:sz w:val="18"/>
              </w:rPr>
              <w:t>Virtualization servers (×3)</w:t>
            </w:r>
          </w:p>
        </w:tc>
        <w:tc>
          <w:tcPr>
            <w:tcW w:type="dxa" w:w="5100"/>
            <w:shd w:val="clear" w:color="auto" w:fill="FFFFFF"/>
          </w:tcPr>
          <w:p>
            <w:pPr>
              <w:spacing w:before="40" w:after="40"/>
              <w:jc w:val="left"/>
            </w:pPr>
            <w:r/>
            <w:r>
              <w:rPr>
                <w:color w:val="000000"/>
                <w:sz w:val="18"/>
              </w:rPr>
              <w:t>2U latest generation, 2×16 cores @ 2.4 GHz, 512 GB DDR5, hardware RAID with non-volatile cache, 4×1GbE + 4×10/25GbE, redundant PSU</w:t>
            </w:r>
          </w:p>
        </w:tc>
      </w:tr>
      <w:tr>
        <w:tc>
          <w:tcPr>
            <w:tcW w:type="dxa" w:w="5100"/>
            <w:shd w:val="clear" w:color="auto" w:fill="FFFFFF"/>
          </w:tcPr>
          <w:p>
            <w:pPr>
              <w:spacing w:before="40" w:after="40"/>
              <w:jc w:val="left"/>
            </w:pPr>
            <w:r/>
            <w:r>
              <w:rPr>
                <w:color w:val="000000"/>
                <w:sz w:val="18"/>
              </w:rPr>
              <w:t>Virtualization software</w:t>
            </w:r>
          </w:p>
        </w:tc>
        <w:tc>
          <w:tcPr>
            <w:tcW w:type="dxa" w:w="5100"/>
            <w:shd w:val="clear" w:color="auto" w:fill="FFFFFF"/>
          </w:tcPr>
          <w:p>
            <w:pPr>
              <w:spacing w:before="40" w:after="40"/>
              <w:jc w:val="left"/>
            </w:pPr>
            <w:r/>
            <w:r>
              <w:rPr>
                <w:color w:val="000000"/>
                <w:sz w:val="18"/>
              </w:rPr>
              <w:t>Bare-metal hypervisor, 3-node HA cluster, VMware vSphere 8 migration tools, boot on SAN, multi-OS support</w:t>
            </w:r>
          </w:p>
        </w:tc>
      </w:tr>
      <w:tr>
        <w:tc>
          <w:tcPr>
            <w:tcW w:type="dxa" w:w="5100"/>
            <w:shd w:val="clear" w:color="auto" w:fill="FFFFFF"/>
          </w:tcPr>
          <w:p>
            <w:pPr>
              <w:spacing w:before="40" w:after="40"/>
              <w:jc w:val="left"/>
            </w:pPr>
            <w:r/>
            <w:r>
              <w:rPr>
                <w:color w:val="000000"/>
                <w:sz w:val="18"/>
              </w:rPr>
              <w:t>Storage array</w:t>
            </w:r>
          </w:p>
        </w:tc>
        <w:tc>
          <w:tcPr>
            <w:tcW w:type="dxa" w:w="5100"/>
            <w:shd w:val="clear" w:color="auto" w:fill="FFFFFF"/>
          </w:tcPr>
          <w:p>
            <w:pPr>
              <w:spacing w:before="40" w:after="40"/>
              <w:jc w:val="left"/>
            </w:pPr>
            <w:r/>
            <w:r>
              <w:rPr>
                <w:color w:val="000000"/>
                <w:sz w:val="18"/>
              </w:rPr>
              <w:t>Same brand as servers, dual active/active controllers, 128 GB cache, unified block + file, all-NVMe SSD, sync + async replication, auto-tiering</w:t>
            </w:r>
          </w:p>
        </w:tc>
      </w:tr>
      <w:tr>
        <w:tc>
          <w:tcPr>
            <w:tcW w:type="dxa" w:w="5100"/>
            <w:shd w:val="clear" w:color="auto" w:fill="FFFFFF"/>
          </w:tcPr>
          <w:p>
            <w:pPr>
              <w:spacing w:before="40" w:after="40"/>
              <w:jc w:val="left"/>
            </w:pPr>
            <w:r/>
            <w:r>
              <w:rPr>
                <w:color w:val="000000"/>
                <w:sz w:val="18"/>
              </w:rPr>
              <w:t>Backup server</w:t>
            </w:r>
          </w:p>
        </w:tc>
        <w:tc>
          <w:tcPr>
            <w:tcW w:type="dxa" w:w="5100"/>
            <w:shd w:val="clear" w:color="auto" w:fill="FFFFFF"/>
          </w:tcPr>
          <w:p>
            <w:pPr>
              <w:spacing w:before="40" w:after="40"/>
              <w:jc w:val="left"/>
            </w:pPr>
            <w:r/>
            <w:r>
              <w:rPr>
                <w:color w:val="000000"/>
                <w:sz w:val="18"/>
              </w:rPr>
              <w:t>Same brand as virtualization servers, single-CPU 16 cores, 128 GB DDR5, 4×8 TB HDD</w:t>
            </w:r>
          </w:p>
        </w:tc>
      </w:tr>
      <w:tr>
        <w:tc>
          <w:tcPr>
            <w:tcW w:type="dxa" w:w="5100"/>
            <w:shd w:val="clear" w:color="auto" w:fill="FFFFFF"/>
          </w:tcPr>
          <w:p>
            <w:pPr>
              <w:spacing w:before="40" w:after="40"/>
              <w:jc w:val="left"/>
            </w:pPr>
            <w:r/>
            <w:r>
              <w:rPr>
                <w:color w:val="000000"/>
                <w:sz w:val="18"/>
              </w:rPr>
              <w:t>Backup software</w:t>
            </w:r>
          </w:p>
        </w:tc>
        <w:tc>
          <w:tcPr>
            <w:tcW w:type="dxa" w:w="5100"/>
            <w:shd w:val="clear" w:color="auto" w:fill="FFFFFF"/>
          </w:tcPr>
          <w:p>
            <w:pPr>
              <w:spacing w:before="40" w:after="40"/>
              <w:jc w:val="left"/>
            </w:pPr>
            <w:r/>
            <w:r>
              <w:rPr>
                <w:color w:val="000000"/>
                <w:sz w:val="18"/>
              </w:rPr>
              <w:t>Subscription license 15 VMs (2 years), agentless, image-based, encrypted, app-aware restore, replication, tape support</w:t>
            </w:r>
          </w:p>
        </w:tc>
      </w:tr>
      <w:tr>
        <w:tc>
          <w:tcPr>
            <w:tcW w:type="dxa" w:w="5100"/>
            <w:shd w:val="clear" w:color="auto" w:fill="FFFFFF"/>
          </w:tcPr>
          <w:p>
            <w:pPr>
              <w:spacing w:before="40" w:after="40"/>
              <w:jc w:val="left"/>
            </w:pPr>
            <w:r/>
            <w:r>
              <w:rPr>
                <w:color w:val="000000"/>
                <w:sz w:val="18"/>
              </w:rPr>
              <w:t>Datacenter switches (×2)</w:t>
            </w:r>
          </w:p>
        </w:tc>
        <w:tc>
          <w:tcPr>
            <w:tcW w:type="dxa" w:w="5100"/>
            <w:shd w:val="clear" w:color="auto" w:fill="FFFFFF"/>
          </w:tcPr>
          <w:p>
            <w:pPr>
              <w:spacing w:before="40" w:after="40"/>
              <w:jc w:val="left"/>
            </w:pPr>
            <w:r/>
            <w:r>
              <w:rPr>
                <w:color w:val="000000"/>
                <w:sz w:val="18"/>
              </w:rPr>
              <w:t>L3 Top-of-Rack, 600 Gbps switching, 4000 VLANs, 16×1GbE PoE + 4×10GbE SFP+, full L2/L3 + security features</w:t>
            </w:r>
          </w:p>
        </w:tc>
      </w:tr>
      <w:tr>
        <w:tc>
          <w:tcPr>
            <w:tcW w:type="dxa" w:w="5100"/>
            <w:shd w:val="clear" w:color="auto" w:fill="FFFFFF"/>
          </w:tcPr>
          <w:p>
            <w:pPr>
              <w:spacing w:before="40" w:after="40"/>
              <w:jc w:val="left"/>
            </w:pPr>
            <w:r/>
            <w:r>
              <w:rPr>
                <w:color w:val="000000"/>
                <w:sz w:val="18"/>
              </w:rPr>
              <w:t>Firewall (×2)</w:t>
            </w:r>
          </w:p>
        </w:tc>
        <w:tc>
          <w:tcPr>
            <w:tcW w:type="dxa" w:w="5100"/>
            <w:shd w:val="clear" w:color="auto" w:fill="FFFFFF"/>
          </w:tcPr>
          <w:p>
            <w:pPr>
              <w:spacing w:before="40" w:after="40"/>
              <w:jc w:val="left"/>
            </w:pPr>
            <w:r/>
            <w:r>
              <w:rPr>
                <w:color w:val="000000"/>
                <w:sz w:val="18"/>
              </w:rPr>
              <w:t>5 Gbps firewall throughput, 4 Gbps IPSec VPN, NGFW (IPS, AV, sandboxing, web/DNS filtering), HA Active-Active and Active-Passive</w:t>
            </w:r>
          </w:p>
        </w:tc>
      </w:tr>
      <w:tr>
        <w:tc>
          <w:tcPr>
            <w:tcW w:type="dxa" w:w="5100"/>
            <w:shd w:val="clear" w:color="auto" w:fill="FFFFFF"/>
          </w:tcPr>
          <w:p>
            <w:pPr>
              <w:spacing w:before="40" w:after="40"/>
              <w:jc w:val="left"/>
            </w:pPr>
            <w:r/>
            <w:r>
              <w:rPr>
                <w:color w:val="000000"/>
                <w:sz w:val="18"/>
              </w:rPr>
              <w:t>Rack cabinet</w:t>
            </w:r>
          </w:p>
        </w:tc>
        <w:tc>
          <w:tcPr>
            <w:tcW w:type="dxa" w:w="5100"/>
            <w:shd w:val="clear" w:color="auto" w:fill="FFFFFF"/>
          </w:tcPr>
          <w:p>
            <w:pPr>
              <w:spacing w:before="40" w:after="40"/>
              <w:jc w:val="left"/>
            </w:pPr>
            <w:r/>
            <w:r>
              <w:rPr>
                <w:color w:val="000000"/>
                <w:sz w:val="18"/>
              </w:rPr>
              <w:t>42U, static load ≥1000 kg, front-to-back airflow, 2 intelligent PDUs (redundancy A/B)</w:t>
            </w:r>
          </w:p>
        </w:tc>
      </w:tr>
    </w:tbl>
    <w:p/>
    <w:p>
      <w:pPr>
        <w:spacing w:before="160" w:after="80"/>
        <w:pBdr>
          <w:bottom w:val="single" w:sz="8" w:space="2" w:color="2E75B6"/>
        </w:pBdr>
      </w:pPr>
      <w:r>
        <w:rPr>
          <w:b/>
          <w:color w:val="1F3864"/>
          <w:sz w:val="26"/>
        </w:rPr>
        <w:t>4. Main Technical Risks</w:t>
      </w:r>
    </w:p>
    <w:p>
      <w:pPr>
        <w:spacing w:before="40" w:after="80"/>
      </w:pPr>
      <w:r>
        <w:rPr>
          <w:color w:val="404040"/>
          <w:sz w:val="20"/>
        </w:rPr>
        <w:t>Principal technical execution risks identified from the CCTP content.</w:t>
      </w:r>
    </w:p>
    <w:tbl>
      <w:tblPr>
        <w:tblStyle w:val="TableGrid"/>
        <w:tblW w:type="auto" w:w="0"/>
        <w:tblLook w:firstColumn="1" w:firstRow="1" w:lastColumn="0" w:lastRow="0" w:noHBand="0" w:noVBand="1" w:val="04A0"/>
      </w:tblPr>
      <w:tblGrid>
        <w:gridCol w:w="5100"/>
        <w:gridCol w:w="5100"/>
      </w:tblGrid>
      <w:tr>
        <w:tc>
          <w:tcPr>
            <w:tcW w:type="dxa" w:w="5100"/>
            <w:shd w:val="clear" w:color="auto" w:fill="1F3864"/>
          </w:tcPr>
          <w:p>
            <w:pPr>
              <w:spacing w:before="40" w:after="40"/>
              <w:jc w:val="left"/>
            </w:pPr>
            <w:r/>
            <w:r>
              <w:rPr>
                <w:b/>
                <w:color w:val="2E75B6"/>
                <w:sz w:val="18"/>
              </w:rPr>
              <w:t>Risk</w:t>
            </w:r>
          </w:p>
        </w:tc>
        <w:tc>
          <w:tcPr>
            <w:tcW w:type="dxa" w:w="5100"/>
            <w:shd w:val="clear" w:color="auto" w:fill="1F3864"/>
          </w:tcPr>
          <w:p>
            <w:pPr>
              <w:spacing w:before="40" w:after="40"/>
              <w:jc w:val="left"/>
            </w:pPr>
            <w:r/>
            <w:r>
              <w:rPr>
                <w:b/>
                <w:color w:val="2E75B6"/>
                <w:sz w:val="18"/>
              </w:rPr>
              <w:t>Severity</w:t>
            </w:r>
          </w:p>
        </w:tc>
      </w:tr>
      <w:tr>
        <w:tc>
          <w:tcPr>
            <w:tcW w:type="dxa" w:w="5100"/>
            <w:shd w:val="clear" w:color="auto" w:fill="FFFFFF"/>
          </w:tcPr>
          <w:p>
            <w:pPr>
              <w:spacing w:before="40" w:after="40"/>
            </w:pPr>
            <w:r/>
            <w:r>
              <w:rPr>
                <w:color w:val="000000"/>
                <w:sz w:val="18"/>
              </w:rPr>
              <w:t>Live VM migration from VMware vSphere 8 to new hypervisor without production impact</w:t>
            </w:r>
          </w:p>
        </w:tc>
        <w:tc>
          <w:tcPr>
            <w:tcW w:type="dxa" w:w="5100"/>
            <w:shd w:val="clear" w:color="auto" w:fill="FFFFFF"/>
          </w:tcPr>
          <w:p>
            <w:pPr>
              <w:spacing w:before="40" w:after="40"/>
            </w:pPr>
            <w:r/>
            <w:r>
              <w:rPr>
                <w:b/>
                <w:color w:val="C00000"/>
                <w:sz w:val="18"/>
              </w:rPr>
              <w:t>High</w:t>
            </w:r>
          </w:p>
        </w:tc>
      </w:tr>
      <w:tr>
        <w:tc>
          <w:tcPr>
            <w:tcW w:type="dxa" w:w="5100"/>
            <w:shd w:val="clear" w:color="auto" w:fill="FFFFFF"/>
          </w:tcPr>
          <w:p>
            <w:pPr>
              <w:spacing w:before="40" w:after="40"/>
            </w:pPr>
            <w:r/>
            <w:r>
              <w:rPr>
                <w:color w:val="000000"/>
                <w:sz w:val="18"/>
              </w:rPr>
              <w:t>Same-brand constraint on servers, storage, and backup server limits sourcing flexibility</w:t>
            </w:r>
          </w:p>
        </w:tc>
        <w:tc>
          <w:tcPr>
            <w:tcW w:type="dxa" w:w="5100"/>
            <w:shd w:val="clear" w:color="auto" w:fill="FFFFFF"/>
          </w:tcPr>
          <w:p>
            <w:pPr>
              <w:spacing w:before="40" w:after="40"/>
            </w:pPr>
            <w:r/>
            <w:r>
              <w:rPr>
                <w:b/>
                <w:color w:val="FF6600"/>
                <w:sz w:val="18"/>
              </w:rPr>
              <w:t>Medium</w:t>
            </w:r>
          </w:p>
        </w:tc>
      </w:tr>
      <w:tr>
        <w:tc>
          <w:tcPr>
            <w:tcW w:type="dxa" w:w="5100"/>
            <w:shd w:val="clear" w:color="auto" w:fill="FFFFFF"/>
          </w:tcPr>
          <w:p>
            <w:pPr>
              <w:spacing w:before="40" w:after="40"/>
            </w:pPr>
            <w:r/>
            <w:r>
              <w:rPr>
                <w:color w:val="000000"/>
                <w:sz w:val="18"/>
              </w:rPr>
              <w:t>Backup licence sized at 15 VMs only — actual production VM count not disclosed</w:t>
            </w:r>
          </w:p>
        </w:tc>
        <w:tc>
          <w:tcPr>
            <w:tcW w:type="dxa" w:w="5100"/>
            <w:shd w:val="clear" w:color="auto" w:fill="FFFFFF"/>
          </w:tcPr>
          <w:p>
            <w:pPr>
              <w:spacing w:before="40" w:after="40"/>
            </w:pPr>
            <w:r/>
            <w:r>
              <w:rPr>
                <w:b/>
                <w:color w:val="FF6600"/>
                <w:sz w:val="18"/>
              </w:rPr>
              <w:t>Medium</w:t>
            </w:r>
          </w:p>
        </w:tc>
      </w:tr>
      <w:tr>
        <w:tc>
          <w:tcPr>
            <w:tcW w:type="dxa" w:w="5100"/>
            <w:shd w:val="clear" w:color="auto" w:fill="FFFFFF"/>
          </w:tcPr>
          <w:p>
            <w:pPr>
              <w:spacing w:before="40" w:after="40"/>
            </w:pPr>
            <w:r/>
            <w:r>
              <w:rPr>
                <w:color w:val="000000"/>
                <w:sz w:val="18"/>
              </w:rPr>
              <w:t>RAID 5 set as the active level on enterprise all-NVMe storage</w:t>
            </w:r>
          </w:p>
        </w:tc>
        <w:tc>
          <w:tcPr>
            <w:tcW w:type="dxa" w:w="5100"/>
            <w:shd w:val="clear" w:color="auto" w:fill="FFFFFF"/>
          </w:tcPr>
          <w:p>
            <w:pPr>
              <w:spacing w:before="40" w:after="40"/>
            </w:pPr>
            <w:r/>
            <w:r>
              <w:rPr>
                <w:b/>
                <w:color w:val="FF6600"/>
                <w:sz w:val="18"/>
              </w:rPr>
              <w:t>Medium</w:t>
            </w:r>
          </w:p>
        </w:tc>
      </w:tr>
      <w:tr>
        <w:tc>
          <w:tcPr>
            <w:tcW w:type="dxa" w:w="5100"/>
            <w:shd w:val="clear" w:color="auto" w:fill="FFFFFF"/>
          </w:tcPr>
          <w:p>
            <w:pPr>
              <w:spacing w:before="40" w:after="40"/>
            </w:pPr>
            <w:r/>
            <w:r>
              <w:rPr>
                <w:color w:val="000000"/>
                <w:sz w:val="18"/>
              </w:rPr>
              <w:t>Battery autonomy on storage array not quantified</w:t>
            </w:r>
          </w:p>
        </w:tc>
        <w:tc>
          <w:tcPr>
            <w:tcW w:type="dxa" w:w="5100"/>
            <w:shd w:val="clear" w:color="auto" w:fill="FFFFFF"/>
          </w:tcPr>
          <w:p>
            <w:pPr>
              <w:spacing w:before="40" w:after="40"/>
            </w:pPr>
            <w:r/>
            <w:r>
              <w:rPr>
                <w:b/>
                <w:color w:val="FF6600"/>
                <w:sz w:val="18"/>
              </w:rPr>
              <w:t>Medium</w:t>
            </w:r>
          </w:p>
        </w:tc>
      </w:tr>
      <w:tr>
        <w:tc>
          <w:tcPr>
            <w:tcW w:type="dxa" w:w="5100"/>
            <w:shd w:val="clear" w:color="auto" w:fill="FFFFFF"/>
          </w:tcPr>
          <w:p>
            <w:pPr>
              <w:spacing w:before="40" w:after="40"/>
            </w:pPr>
            <w:r/>
            <w:r>
              <w:rPr>
                <w:color w:val="000000"/>
                <w:sz w:val="18"/>
              </w:rPr>
              <w:t>RPO/RTO targets not defined by the buyer</w:t>
            </w:r>
          </w:p>
        </w:tc>
        <w:tc>
          <w:tcPr>
            <w:tcW w:type="dxa" w:w="5100"/>
            <w:shd w:val="clear" w:color="auto" w:fill="FFFFFF"/>
          </w:tcPr>
          <w:p>
            <w:pPr>
              <w:spacing w:before="40" w:after="40"/>
            </w:pPr>
            <w:r/>
            <w:r>
              <w:rPr>
                <w:b/>
                <w:color w:val="FF6600"/>
                <w:sz w:val="18"/>
              </w:rPr>
              <w:t>Medium</w:t>
            </w:r>
          </w:p>
        </w:tc>
      </w:tr>
      <w:tr>
        <w:tc>
          <w:tcPr>
            <w:tcW w:type="dxa" w:w="5100"/>
            <w:shd w:val="clear" w:color="auto" w:fill="FFFFFF"/>
          </w:tcPr>
          <w:p>
            <w:pPr>
              <w:spacing w:before="40" w:after="40"/>
            </w:pPr>
            <w:r/>
            <w:r>
              <w:rPr>
                <w:color w:val="000000"/>
                <w:sz w:val="18"/>
              </w:rPr>
              <w:t>Boot-on-SAN dependency adds configuration complexity</w:t>
            </w:r>
          </w:p>
        </w:tc>
        <w:tc>
          <w:tcPr>
            <w:tcW w:type="dxa" w:w="5100"/>
            <w:shd w:val="clear" w:color="auto" w:fill="FFFFFF"/>
          </w:tcPr>
          <w:p>
            <w:pPr>
              <w:spacing w:before="40" w:after="40"/>
            </w:pPr>
            <w:r/>
            <w:r>
              <w:rPr>
                <w:b/>
                <w:color w:val="375623"/>
                <w:sz w:val="18"/>
              </w:rPr>
              <w:t>Low</w:t>
            </w:r>
          </w:p>
        </w:tc>
      </w:tr>
      <w:tr>
        <w:tc>
          <w:tcPr>
            <w:tcW w:type="dxa" w:w="5100"/>
            <w:shd w:val="clear" w:color="auto" w:fill="FFFFFF"/>
          </w:tcPr>
          <w:p>
            <w:pPr>
              <w:spacing w:before="40" w:after="40"/>
            </w:pPr>
            <w:r/>
            <w:r>
              <w:rPr>
                <w:color w:val="000000"/>
                <w:sz w:val="18"/>
              </w:rPr>
              <w:t>Sync + async replication on full capacity often licensed separately by OEMs</w:t>
            </w:r>
          </w:p>
        </w:tc>
        <w:tc>
          <w:tcPr>
            <w:tcW w:type="dxa" w:w="5100"/>
            <w:shd w:val="clear" w:color="auto" w:fill="FFFFFF"/>
          </w:tcPr>
          <w:p>
            <w:pPr>
              <w:spacing w:before="40" w:after="40"/>
            </w:pPr>
            <w:r/>
            <w:r>
              <w:rPr>
                <w:b/>
                <w:color w:val="FF6600"/>
                <w:sz w:val="18"/>
              </w:rPr>
              <w:t>Medium</w:t>
            </w:r>
          </w:p>
        </w:tc>
      </w:tr>
    </w:tbl>
    <w:p/>
    <w:p>
      <w:pPr>
        <w:spacing w:before="160" w:after="80"/>
        <w:pBdr>
          <w:bottom w:val="single" w:sz="8" w:space="2" w:color="2E75B6"/>
        </w:pBdr>
      </w:pPr>
      <w:r>
        <w:rPr>
          <w:b/>
          <w:color w:val="1F3864"/>
          <w:sz w:val="26"/>
        </w:rPr>
        <w:t>5. Relevance Synthesis</w:t>
      </w:r>
    </w:p>
    <w:p>
      <w:pPr>
        <w:spacing w:before="40" w:after="40"/>
      </w:pPr>
      <w:r>
        <w:rPr>
          <w:b/>
          <w:color w:val="404040"/>
          <w:sz w:val="20"/>
        </w:rPr>
        <w:t>Strengths of this opportunity:</w:t>
      </w:r>
    </w:p>
    <w:p>
      <w:pPr>
        <w:pStyle w:val="ListParagraph"/>
        <w:spacing w:before="20" w:after="20"/>
      </w:pPr>
      <w:r>
        <w:rPr>
          <w:color w:val="404040"/>
          <w:sz w:val="20"/>
        </w:rPr>
        <w:t>Defence sector reference — high strategic value for North African market</w:t>
      </w:r>
    </w:p>
    <w:p>
      <w:pPr>
        <w:pStyle w:val="ListParagraph"/>
        <w:spacing w:before="20" w:after="20"/>
      </w:pPr>
      <w:r>
        <w:rPr>
          <w:color w:val="404040"/>
          <w:sz w:val="20"/>
        </w:rPr>
        <w:t>Full datacenter scope in a single contract — visibility across full ICT portfolio</w:t>
      </w:r>
    </w:p>
    <w:p>
      <w:pPr>
        <w:pStyle w:val="ListParagraph"/>
        <w:spacing w:before="20" w:after="20"/>
      </w:pPr>
      <w:r>
        <w:rPr>
          <w:color w:val="404040"/>
          <w:sz w:val="20"/>
        </w:rPr>
        <w:t>Specs map cleanly to standard Tier-1 OEM portfolios (no exotic requirements)</w:t>
      </w:r>
    </w:p>
    <w:p>
      <w:pPr>
        <w:pStyle w:val="ListParagraph"/>
        <w:spacing w:before="20" w:after="20"/>
      </w:pPr>
      <w:r>
        <w:rPr>
          <w:color w:val="404040"/>
          <w:sz w:val="20"/>
        </w:rPr>
        <w:t>2-year support contract generates predictable recurring revenue</w:t>
      </w:r>
    </w:p>
    <w:p/>
    <w:p>
      <w:pPr>
        <w:spacing w:before="40" w:after="40"/>
      </w:pPr>
      <w:r>
        <w:rPr>
          <w:b/>
          <w:color w:val="404040"/>
          <w:sz w:val="20"/>
        </w:rPr>
        <w:t>Challenges:</w:t>
      </w:r>
    </w:p>
    <w:p>
      <w:pPr>
        <w:pStyle w:val="ListParagraph"/>
        <w:spacing w:before="20" w:after="20"/>
      </w:pPr>
      <w:r>
        <w:rPr>
          <w:color w:val="404040"/>
          <w:sz w:val="20"/>
        </w:rPr>
        <w:t>VMware migration is the critical-path technical risk</w:t>
      </w:r>
    </w:p>
    <w:p>
      <w:pPr>
        <w:pStyle w:val="ListParagraph"/>
        <w:spacing w:before="20" w:after="20"/>
      </w:pPr>
      <w:r>
        <w:rPr>
          <w:color w:val="404040"/>
          <w:sz w:val="20"/>
        </w:rPr>
        <w:t>Same-brand constraint requires early OEM commitment</w:t>
      </w:r>
    </w:p>
    <w:p>
      <w:pPr>
        <w:pStyle w:val="ListParagraph"/>
        <w:spacing w:before="20" w:after="20"/>
      </w:pPr>
      <w:r>
        <w:rPr>
          <w:color w:val="404040"/>
          <w:sz w:val="20"/>
        </w:rPr>
        <w:t>Requires up-to-date hardware (latest generation servers, all-NVMe storage)</w:t>
      </w:r>
    </w:p>
    <w:p>
      <w:pPr>
        <w:pStyle w:val="ListParagraph"/>
        <w:spacing w:before="20" w:after="20"/>
      </w:pPr>
      <w:r>
        <w:rPr>
          <w:color w:val="404040"/>
          <w:sz w:val="20"/>
        </w:rPr>
        <w:t>Two certifying trainings require an accredited center and certified trainer availability</w:t>
      </w:r>
    </w:p>
    <w:p/>
    <w:p>
      <w:pPr>
        <w:spacing w:before="40" w:after="40"/>
      </w:pPr>
      <w:r>
        <w:rPr>
          <w:b/>
          <w:color w:val="404040"/>
          <w:sz w:val="20"/>
        </w:rPr>
        <w:t>Relevance by vendor profile:</w:t>
      </w:r>
    </w:p>
    <w:tbl>
      <w:tblPr>
        <w:tblStyle w:val="TableGrid"/>
        <w:tblW w:type="auto" w:w="0"/>
        <w:tblLook w:firstColumn="1" w:firstRow="1" w:lastColumn="0" w:lastRow="0" w:noHBand="0" w:noVBand="1" w:val="04A0"/>
      </w:tblPr>
      <w:tblGrid>
        <w:gridCol w:w="5100"/>
        <w:gridCol w:w="5100"/>
      </w:tblGrid>
      <w:tr>
        <w:tc>
          <w:tcPr>
            <w:tcW w:type="dxa" w:w="5100"/>
            <w:shd w:val="clear" w:color="auto" w:fill="1F3864"/>
          </w:tcPr>
          <w:p>
            <w:pPr>
              <w:spacing w:before="40" w:after="40"/>
              <w:jc w:val="left"/>
            </w:pPr>
            <w:r/>
            <w:r>
              <w:rPr>
                <w:b/>
                <w:color w:val="2E75B6"/>
                <w:sz w:val="18"/>
              </w:rPr>
              <w:t>Profile</w:t>
            </w:r>
          </w:p>
        </w:tc>
        <w:tc>
          <w:tcPr>
            <w:tcW w:type="dxa" w:w="5100"/>
            <w:shd w:val="clear" w:color="auto" w:fill="1F3864"/>
          </w:tcPr>
          <w:p>
            <w:pPr>
              <w:spacing w:before="40" w:after="40"/>
              <w:jc w:val="left"/>
            </w:pPr>
            <w:r/>
            <w:r>
              <w:rPr>
                <w:b/>
                <w:color w:val="2E75B6"/>
                <w:sz w:val="18"/>
              </w:rPr>
              <w:t>Relevance</w:t>
            </w:r>
          </w:p>
        </w:tc>
      </w:tr>
      <w:tr>
        <w:tc>
          <w:tcPr>
            <w:tcW w:type="dxa" w:w="5100"/>
            <w:shd w:val="clear" w:color="auto" w:fill="FFFFFF"/>
          </w:tcPr>
          <w:p>
            <w:pPr>
              <w:spacing w:before="40" w:after="40"/>
              <w:jc w:val="left"/>
            </w:pPr>
            <w:r/>
            <w:r>
              <w:rPr>
                <w:color w:val="000000"/>
                <w:sz w:val="18"/>
              </w:rPr>
              <w:t>Tier-1 OEM with strong North African channel (e.g., Huawei NA)</w:t>
            </w:r>
          </w:p>
        </w:tc>
        <w:tc>
          <w:tcPr>
            <w:tcW w:type="dxa" w:w="5100"/>
            <w:shd w:val="clear" w:color="auto" w:fill="FFFFFF"/>
          </w:tcPr>
          <w:p>
            <w:pPr>
              <w:spacing w:before="40" w:after="40"/>
              <w:jc w:val="left"/>
            </w:pPr>
            <w:r/>
            <w:r>
              <w:rPr>
                <w:color w:val="000000"/>
                <w:sz w:val="18"/>
              </w:rPr>
              <w:t>Highly relevant — natural fit</w:t>
            </w:r>
          </w:p>
        </w:tc>
      </w:tr>
      <w:tr>
        <w:tc>
          <w:tcPr>
            <w:tcW w:type="dxa" w:w="5100"/>
            <w:shd w:val="clear" w:color="auto" w:fill="FFFFFF"/>
          </w:tcPr>
          <w:p>
            <w:pPr>
              <w:spacing w:before="40" w:after="40"/>
              <w:jc w:val="left"/>
            </w:pPr>
            <w:r/>
            <w:r>
              <w:rPr>
                <w:color w:val="000000"/>
                <w:sz w:val="18"/>
              </w:rPr>
              <w:t>Tier-2 OEM with limited local presence</w:t>
            </w:r>
          </w:p>
        </w:tc>
        <w:tc>
          <w:tcPr>
            <w:tcW w:type="dxa" w:w="5100"/>
            <w:shd w:val="clear" w:color="auto" w:fill="FFFFFF"/>
          </w:tcPr>
          <w:p>
            <w:pPr>
              <w:spacing w:before="40" w:after="40"/>
              <w:jc w:val="left"/>
            </w:pPr>
            <w:r/>
            <w:r>
              <w:rPr>
                <w:color w:val="000000"/>
                <w:sz w:val="18"/>
              </w:rPr>
              <w:t>Moderately relevant — partnership required</w:t>
            </w:r>
          </w:p>
        </w:tc>
      </w:tr>
      <w:tr>
        <w:tc>
          <w:tcPr>
            <w:tcW w:type="dxa" w:w="5100"/>
            <w:shd w:val="clear" w:color="auto" w:fill="FFFFFF"/>
          </w:tcPr>
          <w:p>
            <w:pPr>
              <w:spacing w:before="40" w:after="40"/>
              <w:jc w:val="left"/>
            </w:pPr>
            <w:r/>
            <w:r>
              <w:rPr>
                <w:color w:val="000000"/>
                <w:sz w:val="18"/>
              </w:rPr>
              <w:t>Local integrator without OEM-level partnership</w:t>
            </w:r>
          </w:p>
        </w:tc>
        <w:tc>
          <w:tcPr>
            <w:tcW w:type="dxa" w:w="5100"/>
            <w:shd w:val="clear" w:color="auto" w:fill="FFFFFF"/>
          </w:tcPr>
          <w:p>
            <w:pPr>
              <w:spacing w:before="40" w:after="40"/>
              <w:jc w:val="left"/>
            </w:pPr>
            <w:r/>
            <w:r>
              <w:rPr>
                <w:color w:val="000000"/>
                <w:sz w:val="18"/>
              </w:rPr>
              <w:t>Low relevance</w:t>
            </w:r>
          </w:p>
        </w:tc>
      </w:tr>
      <w:tr>
        <w:tc>
          <w:tcPr>
            <w:tcW w:type="dxa" w:w="5100"/>
            <w:shd w:val="clear" w:color="auto" w:fill="FFFFFF"/>
          </w:tcPr>
          <w:p>
            <w:pPr>
              <w:spacing w:before="40" w:after="40"/>
              <w:jc w:val="left"/>
            </w:pPr>
            <w:r/>
            <w:r>
              <w:rPr>
                <w:color w:val="000000"/>
                <w:sz w:val="18"/>
              </w:rPr>
              <w:t>New entrant without local references</w:t>
            </w:r>
          </w:p>
        </w:tc>
        <w:tc>
          <w:tcPr>
            <w:tcW w:type="dxa" w:w="5100"/>
            <w:shd w:val="clear" w:color="auto" w:fill="FFFFFF"/>
          </w:tcPr>
          <w:p>
            <w:pPr>
              <w:spacing w:before="40" w:after="40"/>
              <w:jc w:val="left"/>
            </w:pPr>
            <w:r/>
            <w:r>
              <w:rPr>
                <w:color w:val="000000"/>
                <w:sz w:val="18"/>
              </w:rPr>
              <w:t>Low relevance</w:t>
            </w:r>
          </w:p>
        </w:tc>
      </w:tr>
    </w:tbl>
    <w:p/>
    <w:p>
      <w:pPr>
        <w:spacing w:before="80" w:after="120"/>
        <w:pBdr>
          <w:top w:val="single" w:sz="6" w:space="4" w:color="1F3864"/>
          <w:left w:val="single" w:sz="6" w:space="4" w:color="1F3864"/>
          <w:bottom w:val="single" w:sz="6" w:space="4" w:color="1F3864"/>
          <w:right w:val="single" w:sz="6" w:space="4" w:color="1F3864"/>
        </w:pBdr>
        <w:shd w:val="clear" w:color="auto" w:fill="EEF3FA"/>
      </w:pPr>
      <w:r>
        <w:rPr>
          <w:color w:val="404040"/>
          <w:sz w:val="20"/>
        </w:rPr>
        <w:t>This tender is technically relevant for any Tier-1 ICT vendor with active North African presence. The technical scope is standard, the requirements map to common product families, and the reference value is high. Two technical items require internal validation by management before pursuing: OEM partnership covering servers + storage + backup, and availability of certified migration profiles.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