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drawing>
          <wp:inline xmlns:a="http://schemas.openxmlformats.org/drawingml/2006/main" xmlns:pic="http://schemas.openxmlformats.org/drawingml/2006/picture">
            <wp:extent cx="1645920" cy="1022465"/>
            <wp:docPr id="1" name="Picture 1"/>
            <wp:cNvGraphicFramePr>
              <a:graphicFrameLocks noChangeAspect="1"/>
            </wp:cNvGraphicFramePr>
            <a:graphic>
              <a:graphicData uri="http://schemas.openxmlformats.org/drawingml/2006/picture">
                <pic:pic>
                  <pic:nvPicPr>
                    <pic:cNvPr id="0" name="Logo Moinhos.png"/>
                    <pic:cNvPicPr/>
                  </pic:nvPicPr>
                  <pic:blipFill>
                    <a:blip r:embed="rId9"/>
                    <a:stretch>
                      <a:fillRect/>
                    </a:stretch>
                  </pic:blipFill>
                  <pic:spPr>
                    <a:xfrm>
                      <a:off x="0" y="0"/>
                      <a:ext cx="1645920" cy="1022465"/>
                    </a:xfrm>
                    <a:prstGeom prst="rect"/>
                  </pic:spPr>
                </pic:pic>
              </a:graphicData>
            </a:graphic>
          </wp:inline>
        </w:drawing>
      </w:r>
    </w:p>
    <w:p>
      <w:pPr>
        <w:spacing w:after="80"/>
        <w:jc w:val="center"/>
      </w:pPr>
      <w:r>
        <w:rPr>
          <w:rFonts w:ascii="Arial" w:hAnsi="Arial"/>
          <w:b/>
          <w:i w:val="0"/>
          <w:color w:val="0284C7"/>
          <w:sz w:val="28"/>
        </w:rPr>
        <w:t>STUDENT ACCESS MANUAL FOR THE VIRTUAL LAB</w:t>
      </w:r>
    </w:p>
    <w:p>
      <w:pPr>
        <w:spacing w:after="80"/>
        <w:jc w:val="center"/>
      </w:pPr>
      <w:r>
        <w:rPr>
          <w:rFonts w:ascii="Arial" w:hAnsi="Arial"/>
          <w:b w:val="0"/>
          <w:i/>
          <w:color w:val="3B5166"/>
          <w:sz w:val="22"/>
        </w:rPr>
        <w:t>Guidelines for Asynchronous Participation, Recorded Sessions, and Individual Interactions</w:t>
      </w:r>
    </w:p>
    <w:p>
      <w:pPr>
        <w:spacing w:after="80"/>
        <w:jc w:val="center"/>
      </w:pPr>
      <w:r>
        <w:rPr>
          <w:rFonts w:ascii="Arial" w:hAnsi="Arial"/>
          <w:b/>
          <w:i w:val="0"/>
          <w:color w:val="000000"/>
          <w:sz w:val="22"/>
        </w:rPr>
        <w:t>Course: Risk Assessment &amp; Return on Investment (ROI) in Healthcare AI</w:t>
      </w:r>
    </w:p>
    <w:p>
      <w:pPr>
        <w:spacing w:after="360"/>
        <w:jc w:val="center"/>
      </w:pPr>
      <w:r>
        <w:rPr>
          <w:rFonts w:ascii="Arial" w:hAnsi="Arial"/>
          <w:b/>
          <w:i w:val="0"/>
          <w:color w:val="000000"/>
          <w:sz w:val="22"/>
        </w:rPr>
        <w:t>Instructor: Faila Santos, PhD</w:t>
      </w:r>
    </w:p>
    <w:p>
      <w:pPr>
        <w:spacing w:after="360"/>
        <w:jc w:val="center"/>
      </w:pPr>
      <w:r>
        <w:rPr>
          <w:color w:val="3B5166"/>
        </w:rPr>
        <w:t>―――――――――――――――――――――――――――――――――――――――――――――</w:t>
      </w:r>
    </w:p>
    <w:p>
      <w:pPr>
        <w:spacing w:line="276" w:lineRule="auto" w:after="120" w:before="0"/>
        <w:jc w:val="both"/>
      </w:pPr>
      <w:r>
        <w:rPr>
          <w:rFonts w:ascii="Arial" w:hAnsi="Arial"/>
          <w:b w:val="0"/>
          <w:i w:val="0"/>
          <w:color w:val="000000"/>
          <w:sz w:val="22"/>
        </w:rPr>
        <w:t>This manual is designed for students who need to complete their coursework asynchronously. Our course is built on active learning methodologies. Therefore, you must integrate watching the recorded class sessions with hands-on practice in the virtual ROI portal to apply and validate the financial and operational concepts.</w:t>
      </w:r>
    </w:p>
    <w:p>
      <w:pPr>
        <w:keepNext/>
        <w:spacing w:before="280" w:after="80" w:line="276" w:lineRule="auto"/>
      </w:pPr>
      <w:r>
        <w:rPr>
          <w:rFonts w:ascii="Arial" w:hAnsi="Arial"/>
          <w:b/>
          <w:i w:val="0"/>
          <w:color w:val="0284C7"/>
          <w:sz w:val="25"/>
        </w:rPr>
        <w:t>1. Access and Authentication</w:t>
      </w:r>
    </w:p>
    <w:p>
      <w:pPr>
        <w:spacing w:line="276" w:lineRule="auto" w:after="120" w:before="0"/>
        <w:jc w:val="both"/>
      </w:pPr>
      <w:r>
        <w:rPr>
          <w:rFonts w:ascii="Arial" w:hAnsi="Arial"/>
          <w:b w:val="0"/>
          <w:i w:val="0"/>
          <w:color w:val="000000"/>
          <w:sz w:val="22"/>
        </w:rPr>
        <w:t>To access the learning portal and record your interactions, execute the following authentication protocol:</w:t>
      </w:r>
    </w:p>
    <w:p>
      <w:pPr>
        <w:pStyle w:val="ListBullet"/>
        <w:spacing w:line="276" w:lineRule="auto" w:after="80" w:before="0"/>
        <w:jc w:val="both"/>
      </w:pPr>
      <w:r>
        <w:rPr>
          <w:rFonts w:ascii="Arial" w:hAnsi="Arial"/>
          <w:b/>
          <w:i w:val="0"/>
          <w:color w:val="000000"/>
          <w:sz w:val="22"/>
        </w:rPr>
        <w:t xml:space="preserve">Initial Navigation: </w:t>
      </w:r>
      <w:r>
        <w:rPr>
          <w:rFonts w:ascii="Arial" w:hAnsi="Arial"/>
          <w:b w:val="0"/>
          <w:i w:val="0"/>
          <w:color w:val="000000"/>
          <w:sz w:val="22"/>
        </w:rPr>
        <w:t>Open your browser and navigate to the virtual portal:</w:t>
      </w:r>
      <w:r>
        <w:rPr>
          <w:rFonts w:ascii="Arial" w:hAnsi="Arial"/>
          <w:b/>
          <w:i w:val="0"/>
          <w:color w:val="0284C7"/>
          <w:sz w:val="22"/>
        </w:rPr>
        <w:br/>
        <w:t>https://roi-learning-lab.onrender.com/</w:t>
      </w:r>
    </w:p>
    <w:p>
      <w:pPr>
        <w:pStyle w:val="ListBullet"/>
        <w:spacing w:line="276" w:lineRule="auto" w:after="80" w:before="0"/>
        <w:jc w:val="both"/>
      </w:pPr>
      <w:r>
        <w:rPr>
          <w:rFonts w:ascii="Arial" w:hAnsi="Arial"/>
          <w:b/>
          <w:i w:val="0"/>
          <w:color w:val="000000"/>
          <w:sz w:val="22"/>
        </w:rPr>
        <w:t xml:space="preserve">Identity Selection: </w:t>
      </w:r>
      <w:r>
        <w:rPr>
          <w:rFonts w:ascii="Arial" w:hAnsi="Arial"/>
          <w:b w:val="0"/>
          <w:i w:val="0"/>
          <w:color w:val="000000"/>
          <w:sz w:val="22"/>
        </w:rPr>
        <w:t>On the login screen, click the dropdown menu ('Select your Name') and choose your corresponding student group name (e.g., Student Group 1).</w:t>
      </w:r>
    </w:p>
    <w:p>
      <w:pPr>
        <w:pStyle w:val="ListBullet"/>
        <w:spacing w:line="276" w:lineRule="auto" w:after="80" w:before="0"/>
        <w:jc w:val="both"/>
      </w:pPr>
      <w:r>
        <w:rPr>
          <w:rFonts w:ascii="Arial" w:hAnsi="Arial"/>
          <w:b/>
          <w:i w:val="0"/>
          <w:color w:val="000000"/>
          <w:sz w:val="22"/>
        </w:rPr>
        <w:t xml:space="preserve">Access Credential: </w:t>
      </w:r>
      <w:r>
        <w:rPr>
          <w:rFonts w:ascii="Arial" w:hAnsi="Arial"/>
          <w:b w:val="0"/>
          <w:i w:val="0"/>
          <w:color w:val="000000"/>
          <w:sz w:val="22"/>
        </w:rPr>
        <w:t>In the 'Password' field, enter your assigned course email address (e.g., student1@example.com).</w:t>
      </w:r>
    </w:p>
    <w:p>
      <w:pPr>
        <w:pStyle w:val="ListBullet"/>
        <w:spacing w:line="276" w:lineRule="auto" w:after="80" w:before="0"/>
        <w:jc w:val="both"/>
      </w:pPr>
      <w:r>
        <w:rPr>
          <w:rFonts w:ascii="Arial" w:hAnsi="Arial"/>
          <w:b/>
          <w:i w:val="0"/>
          <w:color w:val="000000"/>
          <w:sz w:val="22"/>
        </w:rPr>
        <w:t xml:space="preserve">Login: </w:t>
      </w:r>
      <w:r>
        <w:rPr>
          <w:rFonts w:ascii="Arial" w:hAnsi="Arial"/>
          <w:b w:val="0"/>
          <w:i w:val="0"/>
          <w:color w:val="000000"/>
          <w:sz w:val="22"/>
        </w:rPr>
        <w:t>Click 'Login' to unlock access to the interactive class dashboard.</w:t>
      </w:r>
    </w:p>
    <w:p>
      <w:pPr>
        <w:keepNext/>
        <w:spacing w:before="280" w:after="80" w:line="276" w:lineRule="auto"/>
      </w:pPr>
      <w:r>
        <w:rPr>
          <w:rFonts w:ascii="Arial" w:hAnsi="Arial"/>
          <w:b/>
          <w:i w:val="0"/>
          <w:color w:val="0284C7"/>
          <w:sz w:val="25"/>
        </w:rPr>
        <w:t>2. Recorded Class Integration</w:t>
      </w:r>
    </w:p>
    <w:p>
      <w:pPr>
        <w:spacing w:line="276" w:lineRule="auto" w:after="120" w:before="0"/>
        <w:jc w:val="both"/>
      </w:pPr>
      <w:r>
        <w:rPr>
          <w:rFonts w:ascii="Arial" w:hAnsi="Arial"/>
          <w:b w:val="0"/>
          <w:i w:val="0"/>
          <w:color w:val="000000"/>
          <w:sz w:val="22"/>
        </w:rPr>
        <w:t>We recommend positioning the video recording window and the virtual portal side-by-side on your monitor. Follow these guidelines:</w:t>
      </w:r>
    </w:p>
    <w:p>
      <w:pPr>
        <w:pStyle w:val="ListBullet"/>
        <w:spacing w:line="276" w:lineRule="auto" w:after="80" w:before="0"/>
        <w:jc w:val="both"/>
      </w:pPr>
      <w:r>
        <w:rPr>
          <w:rFonts w:ascii="Arial" w:hAnsi="Arial"/>
          <w:b/>
          <w:i w:val="0"/>
          <w:color w:val="000000"/>
          <w:sz w:val="22"/>
        </w:rPr>
        <w:t xml:space="preserve">Simultaneous Navigation: </w:t>
      </w:r>
      <w:r>
        <w:rPr>
          <w:rFonts w:ascii="Arial" w:hAnsi="Arial"/>
          <w:b w:val="0"/>
          <w:i w:val="0"/>
          <w:color w:val="000000"/>
          <w:sz w:val="22"/>
        </w:rPr>
        <w:t>Advance the theoretical slides in the portal while following the instructor's explanation in the video.</w:t>
      </w:r>
    </w:p>
    <w:p>
      <w:pPr>
        <w:pStyle w:val="ListBullet"/>
        <w:spacing w:line="276" w:lineRule="auto" w:after="80" w:before="0"/>
        <w:jc w:val="both"/>
      </w:pPr>
      <w:r>
        <w:rPr>
          <w:rFonts w:ascii="Arial" w:hAnsi="Arial"/>
          <w:b/>
          <w:i w:val="0"/>
          <w:color w:val="000000"/>
          <w:sz w:val="22"/>
        </w:rPr>
        <w:t xml:space="preserve">Scientific Literature &amp; References: </w:t>
      </w:r>
      <w:r>
        <w:rPr>
          <w:rFonts w:ascii="Arial" w:hAnsi="Arial"/>
          <w:b w:val="0"/>
          <w:i w:val="0"/>
          <w:color w:val="000000"/>
          <w:sz w:val="22"/>
        </w:rPr>
        <w:t>For slides containing research links or recommended readings, click the links to review the scientific literature directly from the portal.</w:t>
      </w:r>
    </w:p>
    <w:p>
      <w:pPr>
        <w:keepNext/>
        <w:spacing w:before="280" w:after="80" w:line="276" w:lineRule="auto"/>
      </w:pPr>
      <w:r>
        <w:rPr>
          <w:rFonts w:ascii="Arial" w:hAnsi="Arial"/>
          <w:b/>
          <w:i w:val="0"/>
          <w:color w:val="0284C7"/>
          <w:sz w:val="25"/>
        </w:rPr>
        <w:t>3. Team Activities &amp; Submissions</w:t>
      </w:r>
    </w:p>
    <w:p>
      <w:pPr>
        <w:spacing w:line="276" w:lineRule="auto" w:after="120" w:before="0"/>
        <w:jc w:val="both"/>
      </w:pPr>
      <w:r>
        <w:rPr>
          <w:rFonts w:ascii="Arial" w:hAnsi="Arial"/>
          <w:b w:val="0"/>
          <w:i w:val="0"/>
          <w:color w:val="000000"/>
          <w:sz w:val="22"/>
        </w:rPr>
        <w:t>Evaluation of simulation activities is submitted individually on the portal. Even if studying asynchronously, you must fill out the simulator for your team:</w:t>
      </w:r>
    </w:p>
    <w:p>
      <w:pPr>
        <w:pStyle w:val="ListBullet"/>
        <w:spacing w:line="276" w:lineRule="auto" w:after="80" w:before="0"/>
        <w:jc w:val="both"/>
      </w:pPr>
      <w:r>
        <w:rPr>
          <w:rFonts w:ascii="Arial" w:hAnsi="Arial"/>
          <w:b/>
          <w:i w:val="0"/>
          <w:color w:val="000000"/>
          <w:sz w:val="22"/>
        </w:rPr>
        <w:t xml:space="preserve">Accessing the Scenario: </w:t>
      </w:r>
      <w:r>
        <w:rPr>
          <w:rFonts w:ascii="Arial" w:hAnsi="Arial"/>
          <w:b w:val="0"/>
          <w:i w:val="0"/>
          <w:color w:val="000000"/>
          <w:sz w:val="22"/>
        </w:rPr>
        <w:t>Click the 'Group Work' tab to review the clinical-operational case study assigned to your group.</w:t>
      </w:r>
    </w:p>
    <w:p>
      <w:pPr>
        <w:pStyle w:val="ListBullet"/>
        <w:spacing w:line="276" w:lineRule="auto" w:after="80" w:before="0"/>
        <w:jc w:val="both"/>
      </w:pPr>
      <w:r>
        <w:rPr>
          <w:rFonts w:ascii="Arial" w:hAnsi="Arial"/>
          <w:b/>
          <w:i w:val="0"/>
          <w:color w:val="000000"/>
          <w:sz w:val="22"/>
        </w:rPr>
        <w:t xml:space="preserve">Financial &amp; Risk Modeling: </w:t>
      </w:r>
      <w:r>
        <w:rPr>
          <w:rFonts w:ascii="Arial" w:hAnsi="Arial"/>
          <w:b w:val="0"/>
          <w:i w:val="0"/>
          <w:color w:val="000000"/>
          <w:sz w:val="22"/>
        </w:rPr>
        <w:t>Fill in the risk mitigation matrix (Class 1), the stress parameters of the ROI simulator (Class 2), or the final Executive Business Case (Class 3).</w:t>
      </w:r>
    </w:p>
    <w:p>
      <w:pPr>
        <w:pStyle w:val="ListBullet"/>
        <w:spacing w:line="276" w:lineRule="auto" w:after="80" w:before="0"/>
        <w:jc w:val="both"/>
      </w:pPr>
      <w:r>
        <w:rPr>
          <w:rFonts w:ascii="Arial" w:hAnsi="Arial"/>
          <w:b/>
          <w:i w:val="0"/>
          <w:color w:val="000000"/>
          <w:sz w:val="22"/>
        </w:rPr>
        <w:t xml:space="preserve">Submission: </w:t>
      </w:r>
      <w:r>
        <w:rPr>
          <w:rFonts w:ascii="Arial" w:hAnsi="Arial"/>
          <w:b w:val="0"/>
          <w:i w:val="0"/>
          <w:color w:val="000000"/>
          <w:sz w:val="22"/>
        </w:rPr>
        <w:t>After completing all inputs, click the 'Submit' button at the bottom of the form to record your team's answers.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