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480"/>
        <w:jc w:val="center"/>
      </w:pPr>
      <w:r>
        <w:drawing>
          <wp:inline xmlns:a="http://schemas.openxmlformats.org/drawingml/2006/main" xmlns:pic="http://schemas.openxmlformats.org/drawingml/2006/picture">
            <wp:extent cx="1645920" cy="1022465"/>
            <wp:docPr id="1" name="Picture 1"/>
            <wp:cNvGraphicFramePr>
              <a:graphicFrameLocks noChangeAspect="1"/>
            </wp:cNvGraphicFramePr>
            <a:graphic>
              <a:graphicData uri="http://schemas.openxmlformats.org/drawingml/2006/picture">
                <pic:pic>
                  <pic:nvPicPr>
                    <pic:cNvPr id="0" name="Logo Moinhos.png"/>
                    <pic:cNvPicPr/>
                  </pic:nvPicPr>
                  <pic:blipFill>
                    <a:blip r:embed="rId9"/>
                    <a:stretch>
                      <a:fillRect/>
                    </a:stretch>
                  </pic:blipFill>
                  <pic:spPr>
                    <a:xfrm>
                      <a:off x="0" y="0"/>
                      <a:ext cx="1645920" cy="1022465"/>
                    </a:xfrm>
                    <a:prstGeom prst="rect"/>
                  </pic:spPr>
                </pic:pic>
              </a:graphicData>
            </a:graphic>
          </wp:inline>
        </w:drawing>
      </w:r>
    </w:p>
    <w:p>
      <w:pPr>
        <w:spacing w:after="1440" w:line="276" w:lineRule="auto"/>
        <w:jc w:val="center"/>
      </w:pPr>
      <w:r>
        <w:rPr>
          <w:rFonts w:ascii="Arial" w:hAnsi="Arial"/>
          <w:b/>
          <w:i w:val="0"/>
          <w:color w:val="000000"/>
          <w:sz w:val="24"/>
        </w:rPr>
        <w:t>US HEALTHCARE INNOVATION LAB</w:t>
        <w:br/>
      </w:r>
      <w:r>
        <w:rPr>
          <w:rFonts w:ascii="Arial" w:hAnsi="Arial"/>
          <w:b w:val="0"/>
          <w:i w:val="0"/>
          <w:color w:val="000000"/>
          <w:sz w:val="22"/>
        </w:rPr>
        <w:t>MBA IN ARTIFICIAL INTELLIGENCE APPLIED TO HEALTH</w:t>
        <w:br/>
        <w:t>COURSE: RISK ASSESSMENT &amp; RETURN ON INVESTMENT (ROI)</w:t>
      </w:r>
    </w:p>
    <w:p>
      <w:pPr>
        <w:spacing w:after="240"/>
        <w:jc w:val="center"/>
      </w:pPr>
      <w:r>
        <w:rPr>
          <w:rFonts w:ascii="Arial" w:hAnsi="Arial"/>
          <w:b/>
          <w:i w:val="0"/>
          <w:color w:val="000000"/>
          <w:sz w:val="32"/>
        </w:rPr>
        <w:t>BUSINESS CASE, RISK AND RETURN (ROI) REPORT</w:t>
      </w:r>
    </w:p>
    <w:p>
      <w:pPr>
        <w:spacing w:after="1440"/>
        <w:jc w:val="center"/>
      </w:pPr>
      <w:r>
        <w:rPr>
          <w:rFonts w:ascii="Arial" w:hAnsi="Arial"/>
          <w:b w:val="0"/>
          <w:i/>
          <w:color w:val="3B5166"/>
          <w:sz w:val="24"/>
        </w:rPr>
        <w:t>Executive Summary &amp; Final AI Investment Proposal</w:t>
      </w:r>
    </w:p>
    <w:tbl>
      <w:tblPr>
        <w:tblW w:type="auto" w:w="0"/>
        <w:jc w:val="center"/>
        <w:tblLook w:firstColumn="1" w:firstRow="1" w:lastColumn="0" w:lastRow="0" w:noHBand="0" w:noVBand="1" w:val="04A0"/>
      </w:tblPr>
      <w:tblGrid>
        <w:gridCol w:w="4680"/>
        <w:gridCol w:w="4680"/>
      </w:tblGrid>
      <w:tr>
        <w:tc>
          <w:tcPr>
            <w:tcW w:type="dxa" w:w="2592"/>
          </w:tcPr>
          <w:p>
            <w:r>
              <w:rPr>
                <w:rFonts w:ascii="Arial" w:hAnsi="Arial"/>
                <w:b/>
                <w:i w:val="0"/>
                <w:color w:val="000000"/>
                <w:sz w:val="22"/>
              </w:rPr>
              <w:t>Team / Group:</w:t>
            </w:r>
          </w:p>
        </w:tc>
        <w:tc>
          <w:tcPr>
            <w:tcW w:type="dxa" w:w="6768"/>
          </w:tcPr>
          <w:p>
            <w:r>
              <w:rPr>
                <w:rFonts w:ascii="Arial" w:hAnsi="Arial"/>
                <w:b w:val="0"/>
                <w:i w:val="0"/>
                <w:color w:val="000000"/>
                <w:sz w:val="22"/>
              </w:rPr>
              <w:t>Group _____</w:t>
            </w:r>
          </w:p>
        </w:tc>
      </w:tr>
      <w:tr>
        <w:tc>
          <w:tcPr>
            <w:tcW w:type="dxa" w:w="2592"/>
          </w:tcPr>
          <w:p>
            <w:r>
              <w:rPr>
                <w:rFonts w:ascii="Arial" w:hAnsi="Arial"/>
                <w:b/>
                <w:i w:val="0"/>
                <w:color w:val="000000"/>
                <w:sz w:val="22"/>
              </w:rPr>
              <w:t>Members:</w:t>
            </w:r>
          </w:p>
        </w:tc>
        <w:tc>
          <w:tcPr>
            <w:tcW w:type="dxa" w:w="6768"/>
          </w:tcPr>
          <w:p>
            <w:r>
              <w:rPr>
                <w:rFonts w:ascii="Arial" w:hAnsi="Arial"/>
                <w:b w:val="0"/>
                <w:i w:val="0"/>
                <w:color w:val="000000"/>
                <w:sz w:val="22"/>
              </w:rPr>
              <w:t>1. ____________________</w:t>
              <w:br/>
              <w:t>2. ____________________</w:t>
              <w:br/>
              <w:t>3. ____________________</w:t>
              <w:br/>
              <w:t>4. ____________________</w:t>
              <w:br/>
              <w:t>5. ____________________</w:t>
            </w:r>
          </w:p>
        </w:tc>
      </w:tr>
    </w:tbl>
    <w:p>
      <w:pPr>
        <w:spacing w:before="1600"/>
      </w:pPr>
    </w:p>
    <w:p>
      <w:pPr>
        <w:spacing w:after="0"/>
        <w:jc w:val="center"/>
      </w:pPr>
      <w:r>
        <w:rPr>
          <w:rFonts w:ascii="Arial" w:hAnsi="Arial"/>
          <w:b/>
          <w:i w:val="0"/>
          <w:color w:val="000000"/>
          <w:sz w:val="24"/>
        </w:rPr>
        <w:t>UNITED STATES</w:t>
        <w:br/>
        <w:t>2026</w:t>
      </w:r>
    </w:p>
    <w:p>
      <w:r>
        <w:br w:type="page"/>
      </w:r>
    </w:p>
    <w:p>
      <w:pPr>
        <w:keepNext/>
        <w:spacing w:before="360" w:after="120" w:line="276" w:lineRule="auto"/>
      </w:pPr>
      <w:r>
        <w:rPr>
          <w:rFonts w:ascii="Arial" w:hAnsi="Arial"/>
          <w:b/>
          <w:i w:val="0"/>
          <w:color w:val="000000"/>
          <w:sz w:val="28"/>
        </w:rPr>
        <w:t>1. Executive Summary</w:t>
      </w:r>
    </w:p>
    <w:p>
      <w:pPr>
        <w:spacing w:line="276" w:lineRule="auto" w:after="120" w:before="0"/>
        <w:jc w:val="both"/>
      </w:pPr>
      <w:r>
        <w:rPr>
          <w:rFonts w:ascii="Arial" w:hAnsi="Arial"/>
          <w:b w:val="0"/>
          <w:i/>
          <w:color w:val="6B7C93"/>
          <w:sz w:val="19"/>
        </w:rPr>
        <w:t>Instructions: Write a concise, high-impact summary of up to 200 words. Briefly outline the identified clinical/operational bottleneck, the proposed AI-based solution, the total capital required, the financial simulation results (NPV, Payback), and the final investment recommendation.</w:t>
      </w:r>
    </w:p>
    <w:p>
      <w:pPr>
        <w:spacing w:line="276" w:lineRule="auto" w:after="120" w:before="0"/>
        <w:jc w:val="both"/>
      </w:pPr>
      <w:r>
        <w:rPr>
          <w:rFonts w:ascii="Arial" w:hAnsi="Arial"/>
          <w:b w:val="0"/>
          <w:i w:val="0"/>
          <w:color w:val="000000"/>
          <w:sz w:val="22"/>
        </w:rPr>
        <w:t>[Write your team's Executive Summary here...]</w:t>
      </w:r>
    </w:p>
    <w:p>
      <w:pPr>
        <w:keepNext/>
        <w:spacing w:before="360" w:after="120" w:line="276" w:lineRule="auto"/>
      </w:pPr>
      <w:r>
        <w:rPr>
          <w:rFonts w:ascii="Arial" w:hAnsi="Arial"/>
          <w:b/>
          <w:i w:val="0"/>
          <w:color w:val="000000"/>
          <w:sz w:val="28"/>
        </w:rPr>
        <w:t>2. Clinical Setting &amp; Operational Bottleneck</w:t>
      </w:r>
    </w:p>
    <w:p>
      <w:pPr>
        <w:spacing w:line="276" w:lineRule="auto" w:after="120" w:before="0"/>
        <w:jc w:val="both"/>
      </w:pPr>
      <w:r>
        <w:rPr>
          <w:rFonts w:ascii="Arial" w:hAnsi="Arial"/>
          <w:b w:val="0"/>
          <w:i/>
          <w:color w:val="6B7C93"/>
          <w:sz w:val="19"/>
        </w:rPr>
        <w:t>Instructions: Based on your team's assigned case scenario, describe the clinical or operational bottleneck present in the baseline workflow. Detail the workflow inefficiencies (e.g., triage wait times, manual pharmacy dispensing errors) and the associated financial, regulatory, or clinical liability consequences before implementation.</w:t>
      </w:r>
    </w:p>
    <w:p>
      <w:pPr>
        <w:spacing w:line="276" w:lineRule="auto" w:after="120" w:before="0"/>
        <w:jc w:val="both"/>
      </w:pPr>
      <w:r>
        <w:rPr>
          <w:rFonts w:ascii="Arial" w:hAnsi="Arial"/>
          <w:b w:val="0"/>
          <w:i w:val="0"/>
          <w:color w:val="000000"/>
          <w:sz w:val="22"/>
        </w:rPr>
        <w:t>[Describe the institution's baseline workflow, volumes, and identified inefficiencies...]</w:t>
      </w:r>
    </w:p>
    <w:p>
      <w:pPr>
        <w:keepNext/>
        <w:spacing w:before="360" w:after="120" w:line="276" w:lineRule="auto"/>
      </w:pPr>
      <w:r>
        <w:rPr>
          <w:rFonts w:ascii="Arial" w:hAnsi="Arial"/>
          <w:b/>
          <w:i w:val="0"/>
          <w:color w:val="000000"/>
          <w:sz w:val="28"/>
        </w:rPr>
        <w:t>3. Proposed Artificial Intelligence Solution</w:t>
      </w:r>
    </w:p>
    <w:p>
      <w:pPr>
        <w:spacing w:line="276" w:lineRule="auto" w:after="120" w:before="0"/>
        <w:jc w:val="both"/>
      </w:pPr>
      <w:r>
        <w:rPr>
          <w:rFonts w:ascii="Arial" w:hAnsi="Arial"/>
          <w:b w:val="0"/>
          <w:i/>
          <w:color w:val="6B7C93"/>
          <w:sz w:val="19"/>
        </w:rPr>
        <w:t>Instructions: Present the proposed AI solution. Detail the technological scope, the data flow (how the AI integrates with the EHR/EMR or hospital hardware), and the planned clinician validation and adoption timeline.</w:t>
      </w:r>
    </w:p>
    <w:p>
      <w:pPr>
        <w:spacing w:line="276" w:lineRule="auto" w:after="120" w:before="0"/>
        <w:jc w:val="both"/>
      </w:pPr>
      <w:r>
        <w:rPr>
          <w:rFonts w:ascii="Arial" w:hAnsi="Arial"/>
          <w:b w:val="0"/>
          <w:i w:val="0"/>
          <w:color w:val="000000"/>
          <w:sz w:val="22"/>
        </w:rPr>
        <w:t>[Detail the solution architecture, EMR integration, and clinical workflow design...]</w:t>
      </w:r>
    </w:p>
    <w:p>
      <w:pPr>
        <w:keepNext/>
        <w:spacing w:before="360" w:after="120" w:line="276" w:lineRule="auto"/>
      </w:pPr>
      <w:r>
        <w:rPr>
          <w:rFonts w:ascii="Arial" w:hAnsi="Arial"/>
          <w:b/>
          <w:i w:val="0"/>
          <w:color w:val="000000"/>
          <w:sz w:val="28"/>
        </w:rPr>
        <w:t>4. Risk Classification &amp; Mitigation Matrix</w:t>
      </w:r>
    </w:p>
    <w:p>
      <w:pPr>
        <w:spacing w:line="276" w:lineRule="auto" w:after="120" w:before="0"/>
        <w:jc w:val="both"/>
      </w:pPr>
      <w:r>
        <w:rPr>
          <w:rFonts w:ascii="Arial" w:hAnsi="Arial"/>
          <w:b w:val="0"/>
          <w:i/>
          <w:color w:val="6B7C93"/>
          <w:sz w:val="19"/>
        </w:rPr>
        <w:t>Instructions: Transcribe the risk mapping completed during the Class 1 dynamic. Fill in the matrix below detailing the impact of each risk dimension, the clinical/technological mitigation strategy, and the estimated annual contingency cost.</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none"/>
        </w:tblBorders>
      </w:tblPr>
      <w:tblGrid>
        <w:gridCol w:w="2340"/>
        <w:gridCol w:w="2340"/>
        <w:gridCol w:w="2340"/>
        <w:gridCol w:w="2340"/>
      </w:tblGrid>
      <w:tr>
        <w:tc>
          <w:tcPr>
            <w:tcW w:type="dxa" w:w="1728"/>
            <w:shd w:fill="0284C7"/>
          </w:tcPr>
          <w:p>
            <w:r>
              <w:rPr>
                <w:rFonts w:ascii="Arial" w:hAnsi="Arial"/>
                <w:b/>
                <w:i w:val="0"/>
                <w:color w:val="FFFFFF"/>
                <w:sz w:val="20"/>
              </w:rPr>
              <w:t>Dimension</w:t>
            </w:r>
          </w:p>
        </w:tc>
        <w:tc>
          <w:tcPr>
            <w:tcW w:type="dxa" w:w="3168"/>
            <w:shd w:fill="0284C7"/>
          </w:tcPr>
          <w:p>
            <w:r>
              <w:rPr>
                <w:rFonts w:ascii="Arial" w:hAnsi="Arial"/>
                <w:b/>
                <w:i w:val="0"/>
                <w:color w:val="FFFFFF"/>
                <w:sz w:val="20"/>
              </w:rPr>
              <w:t>Mapped Risk (Impact)</w:t>
            </w:r>
          </w:p>
        </w:tc>
        <w:tc>
          <w:tcPr>
            <w:tcW w:type="dxa" w:w="3168"/>
            <w:shd w:fill="0284C7"/>
          </w:tcPr>
          <w:p>
            <w:r>
              <w:rPr>
                <w:rFonts w:ascii="Arial" w:hAnsi="Arial"/>
                <w:b/>
                <w:i w:val="0"/>
                <w:color w:val="FFFFFF"/>
                <w:sz w:val="20"/>
              </w:rPr>
              <w:t>Mitigation Strategy</w:t>
            </w:r>
          </w:p>
        </w:tc>
        <w:tc>
          <w:tcPr>
            <w:tcW w:type="dxa" w:w="1728"/>
            <w:shd w:fill="0284C7"/>
          </w:tcPr>
          <w:p>
            <w:r>
              <w:rPr>
                <w:rFonts w:ascii="Arial" w:hAnsi="Arial"/>
                <w:b/>
                <w:i w:val="0"/>
                <w:color w:val="FFFFFF"/>
                <w:sz w:val="20"/>
              </w:rPr>
              <w:t>Contingency Cost</w:t>
            </w:r>
          </w:p>
        </w:tc>
      </w:tr>
      <w:tr>
        <w:tc>
          <w:tcPr>
            <w:tcW w:type="dxa" w:w="1728"/>
          </w:tcPr>
          <w:p>
            <w:r>
              <w:rPr>
                <w:rFonts w:ascii="Arial" w:hAnsi="Arial"/>
                <w:b w:val="0"/>
                <w:i w:val="0"/>
                <w:color w:val="3B5166"/>
                <w:sz w:val="19"/>
              </w:rPr>
              <w:t>Technical</w:t>
            </w:r>
          </w:p>
        </w:tc>
        <w:tc>
          <w:tcPr>
            <w:tcW w:type="dxa" w:w="3168"/>
          </w:tcPr>
          <w:p>
            <w:r>
              <w:rPr>
                <w:rFonts w:ascii="Arial" w:hAnsi="Arial"/>
                <w:b w:val="0"/>
                <w:i w:val="0"/>
                <w:color w:val="3B5166"/>
                <w:sz w:val="19"/>
              </w:rPr>
              <w:t>[Integration complexity, accuracy degradation, EHR latency]</w:t>
            </w:r>
          </w:p>
        </w:tc>
        <w:tc>
          <w:tcPr>
            <w:tcW w:type="dxa" w:w="3168"/>
          </w:tcPr>
          <w:p>
            <w:r>
              <w:rPr>
                <w:rFonts w:ascii="Arial" w:hAnsi="Arial"/>
                <w:b w:val="0"/>
                <w:i w:val="0"/>
                <w:color w:val="3B5166"/>
                <w:sz w:val="19"/>
              </w:rPr>
              <w:t>[Model calibration, API redundancies, data backups]</w:t>
            </w:r>
          </w:p>
        </w:tc>
        <w:tc>
          <w:tcPr>
            <w:tcW w:type="dxa" w:w="1728"/>
          </w:tcPr>
          <w:p>
            <w:r>
              <w:rPr>
                <w:rFonts w:ascii="Arial" w:hAnsi="Arial"/>
                <w:b w:val="0"/>
                <w:i w:val="0"/>
                <w:color w:val="3B5166"/>
                <w:sz w:val="19"/>
              </w:rPr>
              <w:t>$ _________</w:t>
            </w:r>
          </w:p>
        </w:tc>
      </w:tr>
      <w:tr>
        <w:tc>
          <w:tcPr>
            <w:tcW w:type="dxa" w:w="1728"/>
            <w:shd w:fill="F0F9FF"/>
          </w:tcPr>
          <w:p>
            <w:r>
              <w:rPr>
                <w:rFonts w:ascii="Arial" w:hAnsi="Arial"/>
                <w:b w:val="0"/>
                <w:i w:val="0"/>
                <w:color w:val="3B5166"/>
                <w:sz w:val="19"/>
              </w:rPr>
              <w:t>Operational</w:t>
            </w:r>
          </w:p>
        </w:tc>
        <w:tc>
          <w:tcPr>
            <w:tcW w:type="dxa" w:w="3168"/>
            <w:shd w:fill="F0F9FF"/>
          </w:tcPr>
          <w:p>
            <w:r>
              <w:rPr>
                <w:rFonts w:ascii="Arial" w:hAnsi="Arial"/>
                <w:b w:val="0"/>
                <w:i w:val="0"/>
                <w:color w:val="3B5166"/>
                <w:sz w:val="19"/>
              </w:rPr>
              <w:t>[Alert fatigue, clinician workflow rejection, physical downtime]</w:t>
            </w:r>
          </w:p>
        </w:tc>
        <w:tc>
          <w:tcPr>
            <w:tcW w:type="dxa" w:w="3168"/>
            <w:shd w:fill="F0F9FF"/>
          </w:tcPr>
          <w:p>
            <w:r>
              <w:rPr>
                <w:rFonts w:ascii="Arial" w:hAnsi="Arial"/>
                <w:b w:val="0"/>
                <w:i w:val="0"/>
                <w:color w:val="3B5166"/>
                <w:sz w:val="19"/>
              </w:rPr>
              <w:t>[Onsite training, super-user programs, backup staff]</w:t>
            </w:r>
          </w:p>
        </w:tc>
        <w:tc>
          <w:tcPr>
            <w:tcW w:type="dxa" w:w="1728"/>
            <w:shd w:fill="F0F9FF"/>
          </w:tcPr>
          <w:p>
            <w:r>
              <w:rPr>
                <w:rFonts w:ascii="Arial" w:hAnsi="Arial"/>
                <w:b w:val="0"/>
                <w:i w:val="0"/>
                <w:color w:val="3B5166"/>
                <w:sz w:val="19"/>
              </w:rPr>
              <w:t>$ _________</w:t>
            </w:r>
          </w:p>
        </w:tc>
      </w:tr>
      <w:tr>
        <w:tc>
          <w:tcPr>
            <w:tcW w:type="dxa" w:w="1728"/>
          </w:tcPr>
          <w:p>
            <w:r>
              <w:rPr>
                <w:rFonts w:ascii="Arial" w:hAnsi="Arial"/>
                <w:b w:val="0"/>
                <w:i w:val="0"/>
                <w:color w:val="3B5166"/>
                <w:sz w:val="19"/>
              </w:rPr>
              <w:t>Clinical-Cultural</w:t>
            </w:r>
          </w:p>
        </w:tc>
        <w:tc>
          <w:tcPr>
            <w:tcW w:type="dxa" w:w="3168"/>
          </w:tcPr>
          <w:p>
            <w:r>
              <w:rPr>
                <w:rFonts w:ascii="Arial" w:hAnsi="Arial"/>
                <w:b w:val="0"/>
                <w:i w:val="0"/>
                <w:color w:val="3B5166"/>
                <w:sz w:val="19"/>
              </w:rPr>
              <w:t>[False negatives, physician distrust, ethical/bias concerns]</w:t>
            </w:r>
          </w:p>
        </w:tc>
        <w:tc>
          <w:tcPr>
            <w:tcW w:type="dxa" w:w="3168"/>
          </w:tcPr>
          <w:p>
            <w:r>
              <w:rPr>
                <w:rFonts w:ascii="Arial" w:hAnsi="Arial"/>
                <w:b w:val="0"/>
                <w:i w:val="0"/>
                <w:color w:val="3B5166"/>
                <w:sz w:val="19"/>
              </w:rPr>
              <w:t>[Dual validation protocols, ethics board review, audits]</w:t>
            </w:r>
          </w:p>
        </w:tc>
        <w:tc>
          <w:tcPr>
            <w:tcW w:type="dxa" w:w="1728"/>
          </w:tcPr>
          <w:p>
            <w:r>
              <w:rPr>
                <w:rFonts w:ascii="Arial" w:hAnsi="Arial"/>
                <w:b w:val="0"/>
                <w:i w:val="0"/>
                <w:color w:val="3B5166"/>
                <w:sz w:val="19"/>
              </w:rPr>
              <w:t>$ _________</w:t>
            </w:r>
          </w:p>
        </w:tc>
      </w:tr>
      <w:tr>
        <w:tc>
          <w:tcPr>
            <w:tcW w:type="dxa" w:w="1728"/>
            <w:shd w:fill="F0F9FF"/>
          </w:tcPr>
          <w:p>
            <w:r>
              <w:rPr>
                <w:rFonts w:ascii="Arial" w:hAnsi="Arial"/>
                <w:b w:val="0"/>
                <w:i w:val="0"/>
                <w:color w:val="3B5166"/>
                <w:sz w:val="19"/>
              </w:rPr>
              <w:t>Financial</w:t>
            </w:r>
          </w:p>
        </w:tc>
        <w:tc>
          <w:tcPr>
            <w:tcW w:type="dxa" w:w="3168"/>
            <w:shd w:fill="F0F9FF"/>
          </w:tcPr>
          <w:p>
            <w:r>
              <w:rPr>
                <w:rFonts w:ascii="Arial" w:hAnsi="Arial"/>
                <w:b w:val="0"/>
                <w:i w:val="0"/>
                <w:color w:val="3B5166"/>
                <w:sz w:val="19"/>
              </w:rPr>
              <w:t>[Cost overruns, maintenance escalations, claim denials]</w:t>
            </w:r>
          </w:p>
        </w:tc>
        <w:tc>
          <w:tcPr>
            <w:tcW w:type="dxa" w:w="3168"/>
            <w:shd w:fill="F0F9FF"/>
          </w:tcPr>
          <w:p>
            <w:r>
              <w:rPr>
                <w:rFonts w:ascii="Arial" w:hAnsi="Arial"/>
                <w:b w:val="0"/>
                <w:i w:val="0"/>
                <w:color w:val="3B5166"/>
                <w:sz w:val="19"/>
              </w:rPr>
              <w:t>[Fixed-price SLAs, budget reserves, claims tracking]</w:t>
            </w:r>
          </w:p>
        </w:tc>
        <w:tc>
          <w:tcPr>
            <w:tcW w:type="dxa" w:w="1728"/>
            <w:shd w:fill="F0F9FF"/>
          </w:tcPr>
          <w:p>
            <w:r>
              <w:rPr>
                <w:rFonts w:ascii="Arial" w:hAnsi="Arial"/>
                <w:b w:val="0"/>
                <w:i w:val="0"/>
                <w:color w:val="3B5166"/>
                <w:sz w:val="19"/>
              </w:rPr>
              <w:t>$ _________</w:t>
            </w:r>
          </w:p>
        </w:tc>
      </w:tr>
    </w:tbl>
    <w:p>
      <w:pPr>
        <w:spacing w:after="240"/>
      </w:pPr>
    </w:p>
    <w:p>
      <w:pPr>
        <w:keepNext/>
        <w:spacing w:before="360" w:after="120" w:line="276" w:lineRule="auto"/>
      </w:pPr>
      <w:r>
        <w:rPr>
          <w:rFonts w:ascii="Arial" w:hAnsi="Arial"/>
          <w:b/>
          <w:i w:val="0"/>
          <w:color w:val="000000"/>
          <w:sz w:val="28"/>
        </w:rPr>
        <w:t>5. Financial Simulation &amp; Stress Testing</w:t>
      </w:r>
    </w:p>
    <w:p>
      <w:pPr>
        <w:spacing w:line="276" w:lineRule="auto" w:after="120" w:before="0"/>
        <w:jc w:val="both"/>
      </w:pPr>
      <w:r>
        <w:rPr>
          <w:rFonts w:ascii="Arial" w:hAnsi="Arial"/>
          <w:b w:val="0"/>
          <w:i/>
          <w:color w:val="6B7C93"/>
          <w:sz w:val="19"/>
        </w:rPr>
        <w:t>Instructions: Transcribe the ROI metrics from the Class 2 dynamic. Present the results under three adoption levels (Expected, Realistic, Pessimistic) and clearly indicate the project's Break Point.</w:t>
      </w:r>
    </w:p>
    <w:p>
      <w:pPr>
        <w:spacing w:line="276" w:lineRule="auto" w:after="240"/>
      </w:pPr>
      <w:r>
        <w:rPr>
          <w:rFonts w:ascii="Arial" w:hAnsi="Arial"/>
          <w:b/>
          <w:i w:val="0"/>
          <w:color w:val="000000"/>
          <w:sz w:val="22"/>
        </w:rPr>
        <w:t>Financial Modeling Parameters Used:</w:t>
        <w:br/>
      </w:r>
      <w:r>
        <w:rPr>
          <w:rFonts w:ascii="Arial" w:hAnsi="Arial"/>
          <w:b w:val="0"/>
          <w:i w:val="0"/>
          <w:color w:val="000000"/>
          <w:sz w:val="22"/>
        </w:rPr>
        <w:t>• Initial Capital Investment (CAPEX): $ __________________</w:t>
        <w:br/>
        <w:t>• Expected Annual Benefit (OPEX Savings/Revenue): $ __________________</w:t>
        <w:br/>
        <w:t>• Annual Maintenance Cost (OPEX): $ __________________</w:t>
        <w:br/>
        <w:t>• Annual Cost of Mapped Risks (Risk Cost): $ __________________</w:t>
        <w:br/>
        <w:t>• Time Horizon: _____ years</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none"/>
        </w:tblBorders>
      </w:tblPr>
      <w:tblGrid>
        <w:gridCol w:w="2340"/>
        <w:gridCol w:w="2340"/>
        <w:gridCol w:w="2340"/>
        <w:gridCol w:w="2340"/>
      </w:tblGrid>
      <w:tr>
        <w:tc>
          <w:tcPr>
            <w:tcW w:type="dxa" w:w="3168"/>
            <w:shd w:fill="0284C7"/>
          </w:tcPr>
          <w:p>
            <w:r>
              <w:rPr>
                <w:rFonts w:ascii="Arial" w:hAnsi="Arial"/>
                <w:b/>
                <w:i w:val="0"/>
                <w:color w:val="FFFFFF"/>
                <w:sz w:val="20"/>
              </w:rPr>
              <w:t>Financial Metric</w:t>
            </w:r>
          </w:p>
        </w:tc>
        <w:tc>
          <w:tcPr>
            <w:tcW w:type="dxa" w:w="2160"/>
            <w:shd w:fill="0284C7"/>
          </w:tcPr>
          <w:p>
            <w:r>
              <w:rPr>
                <w:rFonts w:ascii="Arial" w:hAnsi="Arial"/>
                <w:b/>
                <w:i w:val="0"/>
                <w:color w:val="FFFFFF"/>
                <w:sz w:val="20"/>
              </w:rPr>
              <w:t>Expected Scenario</w:t>
            </w:r>
          </w:p>
        </w:tc>
        <w:tc>
          <w:tcPr>
            <w:tcW w:type="dxa" w:w="2160"/>
            <w:shd w:fill="0284C7"/>
          </w:tcPr>
          <w:p>
            <w:r>
              <w:rPr>
                <w:rFonts w:ascii="Arial" w:hAnsi="Arial"/>
                <w:b/>
                <w:i w:val="0"/>
                <w:color w:val="FFFFFF"/>
                <w:sz w:val="20"/>
              </w:rPr>
              <w:t>Realistic Scenario</w:t>
            </w:r>
          </w:p>
        </w:tc>
        <w:tc>
          <w:tcPr>
            <w:tcW w:type="dxa" w:w="2304"/>
            <w:shd w:fill="0284C7"/>
          </w:tcPr>
          <w:p>
            <w:r>
              <w:rPr>
                <w:rFonts w:ascii="Arial" w:hAnsi="Arial"/>
                <w:b/>
                <w:i w:val="0"/>
                <w:color w:val="FFFFFF"/>
                <w:sz w:val="20"/>
              </w:rPr>
              <w:t>Pessimistic Scenario</w:t>
            </w:r>
          </w:p>
        </w:tc>
      </w:tr>
      <w:tr>
        <w:tc>
          <w:tcPr>
            <w:tcW w:type="dxa" w:w="3168"/>
          </w:tcPr>
          <w:p>
            <w:r>
              <w:rPr>
                <w:rFonts w:ascii="Arial" w:hAnsi="Arial"/>
                <w:b w:val="0"/>
                <w:i w:val="0"/>
                <w:color w:val="000000"/>
                <w:sz w:val="19"/>
              </w:rPr>
              <w:t>Clinician Adoption Rate (%)</w:t>
            </w:r>
          </w:p>
        </w:tc>
        <w:tc>
          <w:tcPr>
            <w:tcW w:type="dxa" w:w="2160"/>
          </w:tcPr>
          <w:p>
            <w:r>
              <w:rPr>
                <w:rFonts w:ascii="Arial" w:hAnsi="Arial"/>
                <w:b w:val="0"/>
                <w:i w:val="0"/>
                <w:color w:val="000000"/>
                <w:sz w:val="19"/>
              </w:rPr>
              <w:t>90%</w:t>
            </w:r>
          </w:p>
        </w:tc>
        <w:tc>
          <w:tcPr>
            <w:tcW w:type="dxa" w:w="2160"/>
          </w:tcPr>
          <w:p>
            <w:r>
              <w:rPr>
                <w:rFonts w:ascii="Arial" w:hAnsi="Arial"/>
                <w:b w:val="0"/>
                <w:i w:val="0"/>
                <w:color w:val="000000"/>
                <w:sz w:val="19"/>
              </w:rPr>
              <w:t>70%</w:t>
            </w:r>
          </w:p>
        </w:tc>
        <w:tc>
          <w:tcPr>
            <w:tcW w:type="dxa" w:w="2304"/>
          </w:tcPr>
          <w:p>
            <w:r>
              <w:rPr>
                <w:rFonts w:ascii="Arial" w:hAnsi="Arial"/>
                <w:b w:val="0"/>
                <w:i w:val="0"/>
                <w:color w:val="000000"/>
                <w:sz w:val="19"/>
              </w:rPr>
              <w:t>45%</w:t>
            </w:r>
          </w:p>
        </w:tc>
      </w:tr>
      <w:tr>
        <w:tc>
          <w:tcPr>
            <w:tcW w:type="dxa" w:w="3168"/>
            <w:shd w:fill="F0F9FF"/>
          </w:tcPr>
          <w:p>
            <w:r>
              <w:rPr>
                <w:rFonts w:ascii="Arial" w:hAnsi="Arial"/>
                <w:b w:val="0"/>
                <w:i w:val="0"/>
                <w:color w:val="000000"/>
                <w:sz w:val="19"/>
              </w:rPr>
              <w:t>Return on Investment (ROI %)</w:t>
            </w:r>
          </w:p>
        </w:tc>
        <w:tc>
          <w:tcPr>
            <w:tcW w:type="dxa" w:w="2160"/>
            <w:shd w:fill="F0F9FF"/>
          </w:tcPr>
          <w:p>
            <w:r>
              <w:rPr>
                <w:rFonts w:ascii="Arial" w:hAnsi="Arial"/>
                <w:b/>
                <w:i w:val="0"/>
                <w:color w:val="0284C7"/>
                <w:sz w:val="19"/>
              </w:rPr>
              <w:t>________ %</w:t>
            </w:r>
          </w:p>
        </w:tc>
        <w:tc>
          <w:tcPr>
            <w:tcW w:type="dxa" w:w="2160"/>
            <w:shd w:fill="F0F9FF"/>
          </w:tcPr>
          <w:p>
            <w:r>
              <w:rPr>
                <w:rFonts w:ascii="Arial" w:hAnsi="Arial"/>
                <w:b/>
                <w:i w:val="0"/>
                <w:color w:val="0284C7"/>
                <w:sz w:val="19"/>
              </w:rPr>
              <w:t>________ %</w:t>
            </w:r>
          </w:p>
        </w:tc>
        <w:tc>
          <w:tcPr>
            <w:tcW w:type="dxa" w:w="2304"/>
            <w:shd w:fill="F0F9FF"/>
          </w:tcPr>
          <w:p>
            <w:r>
              <w:rPr>
                <w:rFonts w:ascii="Arial" w:hAnsi="Arial"/>
                <w:b/>
                <w:i w:val="0"/>
                <w:color w:val="0284C7"/>
                <w:sz w:val="19"/>
              </w:rPr>
              <w:t>________ %</w:t>
            </w:r>
          </w:p>
        </w:tc>
      </w:tr>
      <w:tr>
        <w:tc>
          <w:tcPr>
            <w:tcW w:type="dxa" w:w="3168"/>
          </w:tcPr>
          <w:p>
            <w:r>
              <w:rPr>
                <w:rFonts w:ascii="Arial" w:hAnsi="Arial"/>
                <w:b w:val="0"/>
                <w:i w:val="0"/>
                <w:color w:val="000000"/>
                <w:sz w:val="19"/>
              </w:rPr>
              <w:t>Payback Period (Years)</w:t>
            </w:r>
          </w:p>
        </w:tc>
        <w:tc>
          <w:tcPr>
            <w:tcW w:type="dxa" w:w="2160"/>
          </w:tcPr>
          <w:p>
            <w:r>
              <w:rPr>
                <w:rFonts w:ascii="Arial" w:hAnsi="Arial"/>
                <w:b/>
                <w:i w:val="0"/>
                <w:color w:val="0284C7"/>
                <w:sz w:val="19"/>
              </w:rPr>
              <w:t>________ years</w:t>
            </w:r>
          </w:p>
        </w:tc>
        <w:tc>
          <w:tcPr>
            <w:tcW w:type="dxa" w:w="2160"/>
          </w:tcPr>
          <w:p>
            <w:r>
              <w:rPr>
                <w:rFonts w:ascii="Arial" w:hAnsi="Arial"/>
                <w:b/>
                <w:i w:val="0"/>
                <w:color w:val="0284C7"/>
                <w:sz w:val="19"/>
              </w:rPr>
              <w:t>________ years</w:t>
            </w:r>
          </w:p>
        </w:tc>
        <w:tc>
          <w:tcPr>
            <w:tcW w:type="dxa" w:w="2304"/>
          </w:tcPr>
          <w:p>
            <w:r>
              <w:rPr>
                <w:rFonts w:ascii="Arial" w:hAnsi="Arial"/>
                <w:b/>
                <w:i w:val="0"/>
                <w:color w:val="0284C7"/>
                <w:sz w:val="19"/>
              </w:rPr>
              <w:t>________ years</w:t>
            </w:r>
          </w:p>
        </w:tc>
      </w:tr>
      <w:tr>
        <w:tc>
          <w:tcPr>
            <w:tcW w:type="dxa" w:w="3168"/>
            <w:shd w:fill="F0F9FF"/>
          </w:tcPr>
          <w:p>
            <w:r>
              <w:rPr>
                <w:rFonts w:ascii="Arial" w:hAnsi="Arial"/>
                <w:b w:val="0"/>
                <w:i w:val="0"/>
                <w:color w:val="000000"/>
                <w:sz w:val="19"/>
              </w:rPr>
              <w:t>Net Present Value (NPV)</w:t>
            </w:r>
          </w:p>
        </w:tc>
        <w:tc>
          <w:tcPr>
            <w:tcW w:type="dxa" w:w="2160"/>
            <w:shd w:fill="F0F9FF"/>
          </w:tcPr>
          <w:p>
            <w:r>
              <w:rPr>
                <w:rFonts w:ascii="Arial" w:hAnsi="Arial"/>
                <w:b/>
                <w:i w:val="0"/>
                <w:color w:val="0284C7"/>
                <w:sz w:val="19"/>
              </w:rPr>
              <w:t>$ ____________</w:t>
            </w:r>
          </w:p>
        </w:tc>
        <w:tc>
          <w:tcPr>
            <w:tcW w:type="dxa" w:w="2160"/>
            <w:shd w:fill="F0F9FF"/>
          </w:tcPr>
          <w:p>
            <w:r>
              <w:rPr>
                <w:rFonts w:ascii="Arial" w:hAnsi="Arial"/>
                <w:b/>
                <w:i w:val="0"/>
                <w:color w:val="0284C7"/>
                <w:sz w:val="19"/>
              </w:rPr>
              <w:t>$ ____________</w:t>
            </w:r>
          </w:p>
        </w:tc>
        <w:tc>
          <w:tcPr>
            <w:tcW w:type="dxa" w:w="2304"/>
            <w:shd w:fill="F0F9FF"/>
          </w:tcPr>
          <w:p>
            <w:r>
              <w:rPr>
                <w:rFonts w:ascii="Arial" w:hAnsi="Arial"/>
                <w:b/>
                <w:i w:val="0"/>
                <w:color w:val="0284C7"/>
                <w:sz w:val="19"/>
              </w:rPr>
              <w:t>$ ____________</w:t>
            </w:r>
          </w:p>
        </w:tc>
      </w:tr>
    </w:tbl>
    <w:p>
      <w:pPr>
        <w:spacing w:after="240"/>
      </w:pPr>
    </w:p>
    <w:p>
      <w:pPr>
        <w:spacing w:line="276" w:lineRule="auto"/>
      </w:pPr>
      <w:r>
        <w:rPr>
          <w:rFonts w:ascii="Arial" w:hAnsi="Arial"/>
          <w:b/>
          <w:i w:val="0"/>
          <w:color w:val="000000"/>
          <w:sz w:val="22"/>
        </w:rPr>
        <w:t xml:space="preserve">Identified Break Point: </w:t>
      </w:r>
      <w:r>
        <w:rPr>
          <w:rFonts w:ascii="Arial" w:hAnsi="Arial"/>
          <w:b w:val="0"/>
          <w:i w:val="0"/>
          <w:color w:val="000000"/>
          <w:sz w:val="22"/>
        </w:rPr>
        <w:t>[Pessimistic Scenario / Realistic Scenario / Viable in all scenarios]</w:t>
        <w:br/>
      </w:r>
    </w:p>
    <w:p>
      <w:pPr>
        <w:spacing w:line="276" w:lineRule="auto"/>
      </w:pPr>
      <w:r>
        <w:rPr>
          <w:rFonts w:ascii="Arial" w:hAnsi="Arial"/>
          <w:b/>
          <w:i w:val="0"/>
          <w:color w:val="000000"/>
          <w:sz w:val="22"/>
        </w:rPr>
        <w:t>Stress Sensitivity Analysis:</w:t>
        <w:br/>
      </w:r>
      <w:r>
        <w:rPr>
          <w:rFonts w:ascii="Arial" w:hAnsi="Arial"/>
          <w:b w:val="0"/>
          <w:i/>
          <w:color w:val="6B7C93"/>
          <w:sz w:val="22"/>
        </w:rPr>
        <w:t>[Provide a qualitative analysis here detailing how clinician adoption rate and unmitigated risk costs degrade the Net Present Value and extend the Payback period...]</w:t>
      </w:r>
    </w:p>
    <w:p>
      <w:pPr>
        <w:keepNext/>
        <w:spacing w:before="360" w:after="120" w:line="276" w:lineRule="auto"/>
      </w:pPr>
      <w:r>
        <w:rPr>
          <w:rFonts w:ascii="Arial" w:hAnsi="Arial"/>
          <w:b/>
          <w:i w:val="0"/>
          <w:color w:val="000000"/>
          <w:sz w:val="28"/>
        </w:rPr>
        <w:t>6. Final Investment Recommendation (GO / NO-GO)</w:t>
      </w:r>
    </w:p>
    <w:p>
      <w:pPr>
        <w:spacing w:line="276" w:lineRule="auto" w:after="120" w:before="0"/>
        <w:jc w:val="both"/>
      </w:pPr>
      <w:r>
        <w:rPr>
          <w:rFonts w:ascii="Arial" w:hAnsi="Arial"/>
          <w:b w:val="0"/>
          <w:i/>
          <w:color w:val="6B7C93"/>
          <w:sz w:val="19"/>
        </w:rPr>
        <w:t>Instructions: State the team's formal recommendation to C-level executives (GO to proceed with the contract, or NO-GO to defer/reject). Justify your decision by referencing the risk-stressed ROI, clinician safety tolerances, and governance criteria.</w:t>
      </w:r>
    </w:p>
    <w:p>
      <w:pPr>
        <w:spacing w:line="276" w:lineRule="auto"/>
      </w:pPr>
      <w:r>
        <w:rPr>
          <w:rFonts w:ascii="Arial" w:hAnsi="Arial"/>
          <w:b/>
          <w:i w:val="0"/>
          <w:color w:val="000000"/>
          <w:sz w:val="22"/>
        </w:rPr>
        <w:t xml:space="preserve">Formal Recommendation: </w:t>
      </w:r>
      <w:r>
        <w:rPr>
          <w:rFonts w:ascii="Arial" w:hAnsi="Arial"/>
          <w:b/>
          <w:i w:val="0"/>
          <w:color w:val="0284C7"/>
          <w:sz w:val="22"/>
        </w:rPr>
        <w:t>[   ] GO (APPROVED)    /    [   ] NO-GO (REJECTED)</w:t>
      </w:r>
    </w:p>
    <w:p>
      <w:pPr>
        <w:spacing w:line="276" w:lineRule="auto"/>
      </w:pPr>
      <w:r>
        <w:rPr>
          <w:rFonts w:ascii="Arial" w:hAnsi="Arial"/>
          <w:b/>
          <w:i w:val="0"/>
          <w:color w:val="000000"/>
          <w:sz w:val="22"/>
        </w:rPr>
        <w:t>Governance Justification:</w:t>
        <w:br/>
      </w:r>
      <w:r>
        <w:rPr>
          <w:rFonts w:ascii="Arial" w:hAnsi="Arial"/>
          <w:b w:val="0"/>
          <w:i/>
          <w:color w:val="6B7C93"/>
          <w:sz w:val="22"/>
        </w:rPr>
        <w:t>[Summarize the final business case recommendation. Explain how mitigations lower risk to acceptable levels or why high integration friction and liability exposure support a NO-GO decision...]</w:t>
      </w:r>
    </w:p>
    <w:p>
      <w:pPr>
        <w:keepNext/>
        <w:spacing w:before="360" w:after="120" w:line="276" w:lineRule="auto"/>
      </w:pPr>
      <w:r>
        <w:rPr>
          <w:rFonts w:ascii="Arial" w:hAnsi="Arial"/>
          <w:b/>
          <w:i w:val="0"/>
          <w:color w:val="000000"/>
          <w:sz w:val="28"/>
        </w:rPr>
        <w:t>7. Bibliography &amp; References</w:t>
      </w:r>
    </w:p>
    <w:p>
      <w:pPr>
        <w:spacing w:line="276" w:lineRule="auto" w:after="120" w:before="0"/>
        <w:jc w:val="both"/>
      </w:pPr>
      <w:r>
        <w:rPr>
          <w:rFonts w:ascii="Arial" w:hAnsi="Arial"/>
          <w:b w:val="0"/>
          <w:i/>
          <w:color w:val="6B7C93"/>
          <w:sz w:val="19"/>
        </w:rPr>
        <w:t>Instructions: List the references used to support this business case. Below are core curriculum references for guidance:</w:t>
      </w:r>
    </w:p>
    <w:p>
      <w:pPr>
        <w:spacing w:line="276" w:lineRule="auto" w:after="240" w:before="0"/>
        <w:jc w:val="both"/>
      </w:pPr>
      <w:r>
        <w:rPr>
          <w:rFonts w:ascii="Arial" w:hAnsi="Arial"/>
          <w:b w:val="0"/>
          <w:i w:val="0"/>
          <w:color w:val="000000"/>
          <w:sz w:val="22"/>
        </w:rPr>
        <w:t>ARBACHE, Fernando. Healthcare Innovation &amp; Artificial Intelligence Applied to Risk Management. New York: Academic Press, 2024.</w:t>
      </w:r>
    </w:p>
    <w:p>
      <w:pPr>
        <w:spacing w:line="276" w:lineRule="auto" w:after="240" w:before="0"/>
        <w:jc w:val="both"/>
      </w:pPr>
      <w:r>
        <w:rPr>
          <w:rFonts w:ascii="Arial" w:hAnsi="Arial"/>
          <w:b w:val="0"/>
          <w:i w:val="0"/>
          <w:color w:val="000000"/>
          <w:sz w:val="22"/>
        </w:rPr>
        <w:t>CLEVERLEY, William O.; CLEVERLEY, James O.; SONG, Paula H. Essentials of Health Care Finance. 9th ed. Burlington: Jones &amp; Bartlett Learning, 2023.</w:t>
      </w:r>
    </w:p>
    <w:p>
      <w:pPr>
        <w:spacing w:line="276" w:lineRule="auto" w:after="240" w:before="0"/>
        <w:jc w:val="both"/>
      </w:pPr>
      <w:r>
        <w:rPr>
          <w:rFonts w:ascii="Arial" w:hAnsi="Arial"/>
          <w:b w:val="0"/>
          <w:i w:val="0"/>
          <w:color w:val="000000"/>
          <w:sz w:val="22"/>
        </w:rPr>
        <w:t>DAMODARAN, Aswath. Investment Valuation: tools and techniques for determining the value of any asset. 4th ed. Hoboken: Wiley, 2024.</w:t>
      </w:r>
    </w:p>
    <w:p>
      <w:pPr>
        <w:spacing w:line="276" w:lineRule="auto" w:after="240" w:before="0"/>
        <w:jc w:val="both"/>
      </w:pPr>
      <w:r>
        <w:rPr>
          <w:rFonts w:ascii="Arial" w:hAnsi="Arial"/>
          <w:b w:val="0"/>
          <w:i w:val="0"/>
          <w:color w:val="000000"/>
          <w:sz w:val="22"/>
        </w:rPr>
        <w:t>HUBBARD, Douglas W. How to Measure Anything: finding the value of intangibles in business. 4th ed. Hoboken: Wiley, 2024.</w:t>
      </w:r>
    </w:p>
    <w:p>
      <w:pPr>
        <w:spacing w:line="276" w:lineRule="auto" w:after="240" w:before="0"/>
        <w:jc w:val="both"/>
      </w:pPr>
      <w:r>
        <w:rPr>
          <w:rFonts w:ascii="Arial" w:hAnsi="Arial"/>
          <w:b w:val="0"/>
          <w:i w:val="0"/>
          <w:color w:val="000000"/>
          <w:sz w:val="22"/>
        </w:rPr>
        <w:t>TOPOL, Eric. Deep Medicine: how artificial intelligence can make healthcare human again. New York: Basic Books, 2019.</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