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1645920" cy="102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Moinh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2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0284C7"/>
          <w:sz w:val="28"/>
        </w:rPr>
        <w:t>MANUAL DE ACESSO AO AMBIENTE VIRTUAL</w:t>
      </w:r>
    </w:p>
    <w:p>
      <w:pPr>
        <w:spacing w:after="80"/>
        <w:jc w:val="center"/>
      </w:pPr>
      <w:r>
        <w:rPr>
          <w:rFonts w:ascii="Arial" w:hAnsi="Arial"/>
          <w:b w:val="0"/>
          <w:i/>
          <w:color w:val="3B5166"/>
          <w:sz w:val="22"/>
        </w:rPr>
        <w:t>Diretrizes de Acompanhamento de Gravações de Aulas e Interações Individuais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000000"/>
          <w:sz w:val="22"/>
        </w:rPr>
        <w:t>Disciplina: Avaliação de Riscos e Investimentos com ROI</w:t>
      </w:r>
    </w:p>
    <w:p>
      <w:pPr>
        <w:spacing w:after="360"/>
        <w:jc w:val="center"/>
      </w:pPr>
      <w:r>
        <w:rPr>
          <w:rFonts w:ascii="Arial" w:hAnsi="Arial"/>
          <w:b/>
          <w:i w:val="0"/>
          <w:color w:val="000000"/>
          <w:sz w:val="22"/>
        </w:rPr>
        <w:t>Profa. Dra. Faila Santos</w:t>
      </w:r>
    </w:p>
    <w:p>
      <w:pPr>
        <w:spacing w:after="360"/>
        <w:jc w:val="center"/>
      </w:pPr>
      <w:r>
        <w:rPr>
          <w:color w:val="3B5166"/>
        </w:rPr>
        <w:t>―――――――――――――――――――――――――――――――――――――――――――――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manual destina-se aos discentes que necessitem realizar o acompanhamento acadêmico de forma assíncrona. A metodologia baseia-se em aprendizagem ativa síncrona. Portanto, a visualização da gravação deve ser rigorosamente integrada ao uso do portal virtual de simulação de ROI para que o aluno execute e valide os conceitos práticos apresentados.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5"/>
        </w:rPr>
        <w:t>1. Acesso e Autenticação no Portal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acessar a interface do portal de aprendizagem e registrar suas interações individuais, execute o seguinte protocolo de autenticação: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Navegação Inicial: </w:t>
      </w:r>
      <w:r>
        <w:rPr>
          <w:rFonts w:ascii="Arial" w:hAnsi="Arial"/>
          <w:b w:val="0"/>
          <w:i w:val="0"/>
          <w:color w:val="000000"/>
          <w:sz w:val="22"/>
        </w:rPr>
        <w:t xml:space="preserve">Abra o navegador e acesse o endereço eletrônico do portal virtual </w:t>
      </w:r>
      <w:r>
        <w:rPr>
          <w:rFonts w:ascii="Arial" w:hAnsi="Arial"/>
          <w:b/>
          <w:i w:val="0"/>
          <w:color w:val="0284C7"/>
          <w:sz w:val="22"/>
        </w:rPr>
        <w:br/>
        <w:t>https://roi-learning-lab.onrender.com/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Seleção de Identidade: </w:t>
      </w:r>
      <w:r>
        <w:rPr>
          <w:rFonts w:ascii="Arial" w:hAnsi="Arial"/>
          <w:b w:val="0"/>
          <w:i w:val="0"/>
          <w:color w:val="000000"/>
          <w:sz w:val="22"/>
        </w:rPr>
        <w:t>Na tela de autenticação, clique no menu suspenso ('Selecione seu Nome') e selecione o seu nome correspondente.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Credencial de Acesso: </w:t>
      </w:r>
      <w:r>
        <w:rPr>
          <w:rFonts w:ascii="Arial" w:hAnsi="Arial"/>
          <w:b w:val="0"/>
          <w:i w:val="0"/>
          <w:color w:val="000000"/>
          <w:sz w:val="22"/>
        </w:rPr>
        <w:t>No campo 'Senha', insira o seu endereço de e-mail acadêmico cadastrado no MBA (ex: nome.sobrenome@hmv.org.br).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Autenticação: </w:t>
      </w:r>
      <w:r>
        <w:rPr>
          <w:rFonts w:ascii="Arial" w:hAnsi="Arial"/>
          <w:b w:val="0"/>
          <w:i w:val="0"/>
          <w:color w:val="000000"/>
          <w:sz w:val="22"/>
        </w:rPr>
        <w:t>Clique em 'Entrar' para liberar o acesso ao painel de navegação síncrona.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5"/>
        </w:rPr>
        <w:t>2. Estudo Integrado com a Gravação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Recomenda-se posicionar a janela da gravação da videoaula e a janela do portal virtual lado a lado no seu monitor. Siga as orientações a seguir: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Navegação Concomitante: </w:t>
      </w:r>
      <w:r>
        <w:rPr>
          <w:rFonts w:ascii="Arial" w:hAnsi="Arial"/>
          <w:b w:val="0"/>
          <w:i w:val="0"/>
          <w:color w:val="000000"/>
          <w:sz w:val="22"/>
        </w:rPr>
        <w:t>Avance os slides teóricos no portal acompanhando a explanação da docente no vídeo.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Leituras Científicas e Referências: </w:t>
      </w:r>
      <w:r>
        <w:rPr>
          <w:rFonts w:ascii="Arial" w:hAnsi="Arial"/>
          <w:b w:val="0"/>
          <w:i w:val="0"/>
          <w:color w:val="000000"/>
          <w:sz w:val="22"/>
        </w:rPr>
        <w:t>Nos slides que contêm cards de artigos ou leituras recomendadas, utilize os links de apoio para consultar a literatura científica citada diretamente no portal.</w:t>
      </w:r>
    </w:p>
    <w:p>
      <w:pPr>
        <w:keepNext/>
        <w:spacing w:before="280" w:after="80" w:line="276" w:lineRule="auto"/>
      </w:pPr>
      <w:r>
        <w:rPr>
          <w:rFonts w:ascii="Arial" w:hAnsi="Arial"/>
          <w:b/>
          <w:i w:val="0"/>
          <w:color w:val="0284C7"/>
          <w:sz w:val="25"/>
        </w:rPr>
        <w:t>3. Realização e Entrega de Atividades Práticas (Trabalho de Equipe)</w:t>
      </w:r>
    </w:p>
    <w:p>
      <w:pPr>
        <w:spacing w:line="276" w:lineRule="auto" w:after="120" w:befor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avaliação das atividades de simulação ocorre de forma individual no portal. Mesmo estudando assincronamente, você deverá preencher o simulador referente à sua equipe: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Acesso ao Cenário: </w:t>
      </w:r>
      <w:r>
        <w:rPr>
          <w:rFonts w:ascii="Arial" w:hAnsi="Arial"/>
          <w:b w:val="0"/>
          <w:i w:val="0"/>
          <w:color w:val="000000"/>
          <w:sz w:val="22"/>
        </w:rPr>
        <w:t>Acesse a aba 'Trabalho em Grupo' para visualizar o estudo de caso clínico-operacional atribuído à sua equipe de estudos.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Modelagem Financeira e Riscos: </w:t>
      </w:r>
      <w:r>
        <w:rPr>
          <w:rFonts w:ascii="Arial" w:hAnsi="Arial"/>
          <w:b w:val="0"/>
          <w:i w:val="0"/>
          <w:color w:val="000000"/>
          <w:sz w:val="22"/>
        </w:rPr>
        <w:t>Preencha os campos da matriz de mitigação de riscos (Aula 1), os parâmetros de estresse do simulador de ROI (Aula 2) ou o parecer executivo do Business Case final (Aula 3).</w:t>
      </w:r>
    </w:p>
    <w:p>
      <w:pPr>
        <w:pStyle w:val="ListBullet"/>
        <w:spacing w:line="276" w:lineRule="auto" w:after="80" w:before="0"/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Submissão: </w:t>
      </w:r>
      <w:r>
        <w:rPr>
          <w:rFonts w:ascii="Arial" w:hAnsi="Arial"/>
          <w:b w:val="0"/>
          <w:i w:val="0"/>
          <w:color w:val="000000"/>
          <w:sz w:val="22"/>
        </w:rPr>
        <w:t>Após completar o preenchimento, clique no botão 'Submeter' no rodapé do formulário.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