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4"/>
        </w:rPr>
        <w:t>PROJECT PROPOSAL</w:t>
      </w:r>
    </w:p>
    <w:p>
      <w:pPr>
        <w:jc w:val="center"/>
      </w:pPr>
      <w:r>
        <w:rPr>
          <w:rFonts w:ascii="Calibri" w:hAnsi="Calibri"/>
          <w:b/>
          <w:color w:val="2B6CB0"/>
          <w:sz w:val="32"/>
        </w:rPr>
        <w:t>D’ Educationist Accounting System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Prepared for: </w:t>
      </w:r>
      <w:r>
        <w:rPr>
          <w:rFonts w:ascii="Calibri" w:hAnsi="Calibri"/>
          <w:b w:val="0"/>
          <w:sz w:val="22"/>
        </w:rPr>
        <w:t>D’ Educationist Private Limited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Website: </w:t>
      </w:r>
      <w:r>
        <w:rPr>
          <w:rFonts w:ascii="Calibri" w:hAnsi="Calibri"/>
          <w:b w:val="0"/>
          <w:sz w:val="22"/>
        </w:rPr>
        <w:t>https://deducationist.com/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Prepared by: </w:t>
      </w:r>
      <w:r>
        <w:rPr>
          <w:rFonts w:ascii="Calibri" w:hAnsi="Calibri"/>
          <w:b w:val="0"/>
          <w:sz w:val="22"/>
        </w:rPr>
        <w:t>______________________________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Proposal date: </w:t>
      </w:r>
      <w:r>
        <w:rPr>
          <w:rFonts w:ascii="Calibri" w:hAnsi="Calibri"/>
          <w:b w:val="0"/>
          <w:sz w:val="22"/>
        </w:rPr>
        <w:t>20 July 2026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Proposal validity: </w:t>
      </w:r>
      <w:r>
        <w:rPr>
          <w:rFonts w:ascii="Calibri" w:hAnsi="Calibri"/>
          <w:b w:val="0"/>
          <w:sz w:val="22"/>
        </w:rPr>
        <w:t>15 days from the date of issue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Reference: </w:t>
      </w:r>
      <w:r>
        <w:rPr>
          <w:rFonts w:ascii="Calibri" w:hAnsi="Calibri"/>
          <w:b w:val="0"/>
          <w:sz w:val="22"/>
        </w:rPr>
        <w:t>DE-ACC-2026-001</w:t>
      </w:r>
    </w:p>
    <w:p/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proposal covers the design, development, and delivery of a multi-branch commission accounting system tailored for D’ Educationist’s study-abroad consultancy operations in Pakistan.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system will centralize student records, university commission invoicing, remittances, sub-agent payouts, expenses, payroll, general ledger, approvals, audit trail, and financial reporting — with role-based access for Super Admin, Branch Managers, Accountants, and Counsellors.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Project fee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USD 3,500 (fixed)</w:t>
            </w:r>
          </w:p>
        </w:tc>
      </w:tr>
      <w:tr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Payment terms</w:t>
            </w:r>
          </w:p>
        </w:tc>
        <w:tc>
          <w:tcPr>
            <w:tcW w:type="dxa" w:w="6480"/>
            <w:shd w:fill="F7FAFC" w:val="clear"/>
          </w:tcPr>
          <w:p>
            <w:r>
              <w:rPr>
                <w:rFonts w:ascii="Calibri" w:hAnsi="Calibri"/>
                <w:sz w:val="20"/>
              </w:rPr>
              <w:t>50% advance · 50% on final delivery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Duration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2 months (8 weeks)</w:t>
            </w:r>
          </w:p>
        </w:tc>
      </w:tr>
      <w:tr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Currency</w:t>
            </w:r>
          </w:p>
        </w:tc>
        <w:tc>
          <w:tcPr>
            <w:tcW w:type="dxa" w:w="6480"/>
            <w:shd w:fill="F7FAFC" w:val="clear"/>
          </w:tcPr>
          <w:p>
            <w:r>
              <w:rPr>
                <w:rFonts w:ascii="Calibri" w:hAnsi="Calibri"/>
                <w:sz w:val="20"/>
              </w:rPr>
              <w:t>United States Dollars (USD)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</w:tr>
      <w:tr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6480"/>
            <w:shd w:fill="F7FAFC" w:val="clear"/>
          </w:tcPr>
          <w:p>
            <w:r>
              <w:rPr>
                <w:rFonts w:ascii="Calibri" w:hAnsi="Calibri"/>
                <w:sz w:val="20"/>
              </w:rPr>
              <w:t>PostgreSQL</w:t>
            </w:r>
          </w:p>
        </w:tc>
      </w:tr>
    </w:tbl>
    <w:p/>
    <w:p>
      <w:pPr>
        <w:pStyle w:val="Heading1"/>
      </w:pPr>
      <w:r>
        <w:t>2. Client &amp;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7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D’ Educationist Private Limited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Study abroad consultancy &amp; education services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D’ Educationist Accounting System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Objective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Digitize and consolidate branch-wise financial and commission operations into one secure web application</w:t>
            </w:r>
          </w:p>
        </w:tc>
      </w:tr>
    </w:tbl>
    <w:p/>
    <w:p>
      <w:pPr>
        <w:pStyle w:val="Heading2"/>
      </w:pPr>
      <w:r>
        <w:t>Business challenges addressed</w:t>
      </w:r>
    </w:p>
    <w:p>
      <w:pPr>
        <w:pStyle w:val="ListBullet"/>
      </w:pPr>
      <w:r>
        <w:rPr>
          <w:rFonts w:ascii="Calibri" w:hAnsi="Calibri"/>
          <w:sz w:val="22"/>
        </w:rPr>
        <w:t>Scattered Excel / manual tracking of commissions and remittances</w:t>
      </w:r>
    </w:p>
    <w:p>
      <w:pPr>
        <w:pStyle w:val="ListBullet"/>
      </w:pPr>
      <w:r>
        <w:rPr>
          <w:rFonts w:ascii="Calibri" w:hAnsi="Calibri"/>
          <w:sz w:val="22"/>
        </w:rPr>
        <w:t>Limited branch-wise visibility for management</w:t>
      </w:r>
    </w:p>
    <w:p>
      <w:pPr>
        <w:pStyle w:val="ListBullet"/>
      </w:pPr>
      <w:r>
        <w:rPr>
          <w:rFonts w:ascii="Calibri" w:hAnsi="Calibri"/>
          <w:sz w:val="22"/>
        </w:rPr>
        <w:t>Manual sub-agent commission and payment reconciliation</w:t>
      </w:r>
    </w:p>
    <w:p>
      <w:pPr>
        <w:pStyle w:val="ListBullet"/>
      </w:pPr>
      <w:r>
        <w:rPr>
          <w:rFonts w:ascii="Calibri" w:hAnsi="Calibri"/>
          <w:sz w:val="22"/>
        </w:rPr>
        <w:t>Need for counsellor-level and university-level profit visibility</w:t>
      </w:r>
    </w:p>
    <w:p>
      <w:pPr>
        <w:pStyle w:val="ListBullet"/>
      </w:pPr>
      <w:r>
        <w:rPr>
          <w:rFonts w:ascii="Calibri" w:hAnsi="Calibri"/>
          <w:sz w:val="22"/>
        </w:rPr>
        <w:t>Lack of centralized approvals, audit trail, and role-based access</w:t>
      </w:r>
    </w:p>
    <w:p>
      <w:pPr>
        <w:pStyle w:val="Heading1"/>
      </w:pPr>
      <w:r>
        <w:t>3. Scope of Work</w:t>
      </w:r>
    </w:p>
    <w:p>
      <w:pPr>
        <w:pStyle w:val="Heading2"/>
      </w:pPr>
      <w:r>
        <w:t>3.1 Core modules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2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04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Authentication &amp; security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Secure login, session handling, role-based access control (RBAC)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Management KPIs and separate counsellor dashboard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Master Sheet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Student / application pipeline with branch and counsellor assignment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Invoices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Multi-currency commission invoices, send / resend, status workflow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Remittance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Receipts against invoices with university, bank, and currency tracking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Sub-Agents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Sub-agent master, commission sheet, payments, and ledger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Cash &amp; Expenses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Petty cash, expenses, bank &amp; cash views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Accounting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General ledger (COA), journal entries, auto-posting foundations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Tax &amp; Ledgers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Tax compliance screens; student, vendor, and sub-agent ledgers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Payroll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Employee payroll with Pakistan salary tax logic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Operations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Documents, approvals workflow, audit trail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Reports hub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Branch, consolidated, commission, tax, and operations reports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20"/>
              </w:rPr>
              <w:t>Branches, users &amp; roles, system settings</w:t>
            </w:r>
          </w:p>
        </w:tc>
      </w:tr>
      <w:tr>
        <w:tc>
          <w:tcPr>
            <w:tcW w:type="dxa" w:w="720"/>
            <w:shd w:fill="F7FAFC" w:val="clear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Responsive UI</w:t>
            </w:r>
          </w:p>
        </w:tc>
        <w:tc>
          <w:tcPr>
            <w:tcW w:type="dxa" w:w="6048"/>
            <w:shd w:fill="F7FAFC" w:val="clear"/>
          </w:tcPr>
          <w:p>
            <w:r>
              <w:rPr>
                <w:rFonts w:ascii="Calibri" w:hAnsi="Calibri"/>
                <w:sz w:val="20"/>
              </w:rPr>
              <w:t>Desktop and mobile-friendly layout</w:t>
            </w:r>
          </w:p>
        </w:tc>
      </w:tr>
    </w:tbl>
    <w:p/>
    <w:p>
      <w:pPr>
        <w:pStyle w:val="Heading2"/>
      </w:pPr>
      <w:r>
        <w:t>3.2 Key reports included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Branch</w:t>
      </w:r>
    </w:p>
    <w:p>
      <w:pPr>
        <w:pStyle w:val="ListBullet"/>
      </w:pPr>
      <w:r>
        <w:rPr>
          <w:rFonts w:ascii="Calibri" w:hAnsi="Calibri"/>
          <w:sz w:val="22"/>
        </w:rPr>
        <w:t>Branch Income</w:t>
      </w:r>
    </w:p>
    <w:p>
      <w:pPr>
        <w:pStyle w:val="ListBullet"/>
      </w:pPr>
      <w:r>
        <w:rPr>
          <w:rFonts w:ascii="Calibri" w:hAnsi="Calibri"/>
          <w:sz w:val="22"/>
        </w:rPr>
        <w:t>Branch Expenses</w:t>
      </w:r>
    </w:p>
    <w:p>
      <w:pPr>
        <w:pStyle w:val="ListBullet"/>
      </w:pPr>
      <w:r>
        <w:rPr>
          <w:rFonts w:ascii="Calibri" w:hAnsi="Calibri"/>
          <w:sz w:val="22"/>
        </w:rPr>
        <w:t>Branch Profit (with detail drill-down)</w:t>
      </w:r>
    </w:p>
    <w:p>
      <w:pPr>
        <w:pStyle w:val="ListBullet"/>
      </w:pPr>
      <w:r>
        <w:rPr>
          <w:rFonts w:ascii="Calibri" w:hAnsi="Calibri"/>
          <w:sz w:val="22"/>
        </w:rPr>
        <w:t>Branch Cash Position (with detail drill-down)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Consolidated</w:t>
      </w:r>
    </w:p>
    <w:p>
      <w:pPr>
        <w:pStyle w:val="ListBullet"/>
      </w:pPr>
      <w:r>
        <w:rPr>
          <w:rFonts w:ascii="Calibri" w:hAnsi="Calibri"/>
          <w:sz w:val="22"/>
        </w:rPr>
        <w:t>University-wise P&amp;L</w:t>
      </w:r>
    </w:p>
    <w:p>
      <w:pPr>
        <w:pStyle w:val="ListBullet"/>
      </w:pPr>
      <w:r>
        <w:rPr>
          <w:rFonts w:ascii="Calibri" w:hAnsi="Calibri"/>
          <w:sz w:val="22"/>
        </w:rPr>
        <w:t>Consolidated P&amp;L</w:t>
      </w:r>
    </w:p>
    <w:p>
      <w:pPr>
        <w:pStyle w:val="ListBullet"/>
      </w:pPr>
      <w:r>
        <w:rPr>
          <w:rFonts w:ascii="Calibri" w:hAnsi="Calibri"/>
          <w:sz w:val="22"/>
        </w:rPr>
        <w:t>Consolidated Balance Sheet</w:t>
      </w:r>
    </w:p>
    <w:p>
      <w:pPr>
        <w:pStyle w:val="ListBullet"/>
      </w:pPr>
      <w:r>
        <w:rPr>
          <w:rFonts w:ascii="Calibri" w:hAnsi="Calibri"/>
          <w:sz w:val="22"/>
        </w:rPr>
        <w:t>Consolidated Cash Flow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Commission / Operations</w:t>
      </w:r>
    </w:p>
    <w:p>
      <w:pPr>
        <w:pStyle w:val="ListBullet"/>
      </w:pPr>
      <w:r>
        <w:rPr>
          <w:rFonts w:ascii="Calibri" w:hAnsi="Calibri"/>
          <w:sz w:val="22"/>
        </w:rPr>
        <w:t>Counsellor Report Profit and Loss</w:t>
      </w:r>
    </w:p>
    <w:p>
      <w:pPr>
        <w:pStyle w:val="ListBullet"/>
      </w:pPr>
      <w:r>
        <w:rPr>
          <w:rFonts w:ascii="Calibri" w:hAnsi="Calibri"/>
          <w:sz w:val="22"/>
        </w:rPr>
        <w:t>Country-wise Report</w:t>
      </w:r>
    </w:p>
    <w:p>
      <w:pPr>
        <w:pStyle w:val="ListBullet"/>
      </w:pPr>
      <w:r>
        <w:rPr>
          <w:rFonts w:ascii="Calibri" w:hAnsi="Calibri"/>
          <w:sz w:val="22"/>
        </w:rPr>
        <w:t>University-wise Report</w:t>
      </w:r>
    </w:p>
    <w:p>
      <w:pPr>
        <w:pStyle w:val="ListBullet"/>
      </w:pPr>
      <w:r>
        <w:rPr>
          <w:rFonts w:ascii="Calibri" w:hAnsi="Calibri"/>
          <w:sz w:val="22"/>
        </w:rPr>
        <w:t>Commission earned vs received, sub-agent payout, net margin (as per agreed report set)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Tax / Standard</w:t>
      </w:r>
    </w:p>
    <w:p>
      <w:pPr>
        <w:pStyle w:val="ListBullet"/>
      </w:pPr>
      <w:r>
        <w:rPr>
          <w:rFonts w:ascii="Calibri" w:hAnsi="Calibri"/>
          <w:sz w:val="22"/>
        </w:rPr>
        <w:t>WHT, GST/SRB, Salary Tax summaries and standard registers (as per agreed list)</w:t>
      </w:r>
    </w:p>
    <w:p>
      <w:pPr>
        <w:pStyle w:val="Heading2"/>
      </w:pPr>
      <w:r>
        <w:t>3.3 Key business logic included</w:t>
      </w:r>
    </w:p>
    <w:p>
      <w:pPr>
        <w:pStyle w:val="ListBullet"/>
      </w:pPr>
      <w:r>
        <w:rPr>
          <w:rFonts w:ascii="Calibri" w:hAnsi="Calibri"/>
          <w:sz w:val="22"/>
        </w:rPr>
        <w:t>Multi-branch data scoping (Super Admin: all branches; others: own branch)</w:t>
      </w:r>
    </w:p>
    <w:p>
      <w:pPr>
        <w:pStyle w:val="ListBullet"/>
      </w:pPr>
      <w:r>
        <w:rPr>
          <w:rFonts w:ascii="Calibri" w:hAnsi="Calibri"/>
          <w:sz w:val="22"/>
        </w:rPr>
        <w:t>Commission income and remittance outstanding tracking</w:t>
      </w:r>
    </w:p>
    <w:p>
      <w:pPr>
        <w:pStyle w:val="ListBullet"/>
      </w:pPr>
      <w:r>
        <w:rPr>
          <w:rFonts w:ascii="Calibri" w:hAnsi="Calibri"/>
          <w:sz w:val="22"/>
        </w:rPr>
        <w:t>Sub-agent payable calculation and payment recording</w:t>
      </w:r>
    </w:p>
    <w:p>
      <w:pPr>
        <w:pStyle w:val="ListBullet"/>
      </w:pPr>
      <w:r>
        <w:rPr>
          <w:rFonts w:ascii="Calibri" w:hAnsi="Calibri"/>
          <w:sz w:val="22"/>
        </w:rPr>
        <w:t>Net profit formula where applicable: Profit/(Loss) − Outstanding = Net Profit</w:t>
      </w:r>
    </w:p>
    <w:p>
      <w:pPr>
        <w:pStyle w:val="ListBullet"/>
      </w:pPr>
      <w:r>
        <w:rPr>
          <w:rFonts w:ascii="Calibri" w:hAnsi="Calibri"/>
          <w:sz w:val="22"/>
        </w:rPr>
        <w:t>Pakistan payroll tax calculation (as configured)</w:t>
      </w:r>
    </w:p>
    <w:p>
      <w:pPr>
        <w:pStyle w:val="ListBullet"/>
      </w:pPr>
      <w:r>
        <w:rPr>
          <w:rFonts w:ascii="Calibri" w:hAnsi="Calibri"/>
          <w:sz w:val="22"/>
        </w:rPr>
        <w:t>Audit logging of critical actions</w:t>
      </w:r>
    </w:p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7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React, TypeScript, Vite, Tailwind CSS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UI components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Modern component library (Radix / shadcn-style)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State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Zustand (client state) / API-driven data from backend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Recharts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React Router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Node.js (Express / NestJS-style REST API)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PostgreSQL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JWT / session-based authentication with role-based 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Branding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D’ Educationist name and logo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sz w:val="22"/>
        </w:rPr>
        <w:t>Hosting (e.g. Render, Railway, VPS, or client-preferred cloud) will be confirmed at kickoff. Domain, SSL, and server costs remain client-side unless agreed as an add-on.</w:t>
      </w:r>
    </w:p>
    <w:p>
      <w:pPr>
        <w:pStyle w:val="Heading1"/>
      </w:pPr>
      <w:r>
        <w:t>5. Deliverables</w:t>
      </w:r>
    </w:p>
    <w:p>
      <w:pPr>
        <w:pStyle w:val="ListNumber"/>
      </w:pPr>
      <w:r>
        <w:rPr>
          <w:rFonts w:ascii="Calibri" w:hAnsi="Calibri"/>
          <w:sz w:val="22"/>
        </w:rPr>
        <w:t>Fully working web application as per Section 3 (React frontend + Node.js backend + PostgreSQL database)</w:t>
      </w:r>
    </w:p>
    <w:p>
      <w:pPr>
        <w:pStyle w:val="ListNumber"/>
      </w:pPr>
      <w:r>
        <w:rPr>
          <w:rFonts w:ascii="Calibri" w:hAnsi="Calibri"/>
          <w:sz w:val="22"/>
        </w:rPr>
        <w:t>Source code handover (frontend + backend + database migrations/schema) on final payment</w:t>
      </w:r>
    </w:p>
    <w:p>
      <w:pPr>
        <w:pStyle w:val="ListNumber"/>
      </w:pPr>
      <w:r>
        <w:rPr>
          <w:rFonts w:ascii="Calibri" w:hAnsi="Calibri"/>
          <w:sz w:val="22"/>
        </w:rPr>
        <w:t>Admin / Super Admin access credentials</w:t>
      </w:r>
    </w:p>
    <w:p>
      <w:pPr>
        <w:pStyle w:val="ListNumber"/>
      </w:pPr>
      <w:r>
        <w:rPr>
          <w:rFonts w:ascii="Calibri" w:hAnsi="Calibri"/>
          <w:sz w:val="22"/>
        </w:rPr>
        <w:t>Basic user guide (PDF or shared document)</w:t>
      </w:r>
    </w:p>
    <w:p>
      <w:pPr>
        <w:pStyle w:val="ListNumber"/>
      </w:pPr>
      <w:r>
        <w:rPr>
          <w:rFonts w:ascii="Calibri" w:hAnsi="Calibri"/>
          <w:sz w:val="22"/>
        </w:rPr>
        <w:t>One remote training / walkthrough session (up to 2 hours)</w:t>
      </w:r>
    </w:p>
    <w:p>
      <w:pPr>
        <w:pStyle w:val="ListNumber"/>
      </w:pPr>
      <w:r>
        <w:rPr>
          <w:rFonts w:ascii="Calibri" w:hAnsi="Calibri"/>
          <w:sz w:val="22"/>
        </w:rPr>
        <w:t>Deployment support for first production go-live (hosting credentials to be provided by client, or arranged as optional add-on)</w:t>
      </w:r>
    </w:p>
    <w:p>
      <w:pPr>
        <w:pStyle w:val="ListNumber"/>
      </w:pPr>
      <w:r>
        <w:rPr>
          <w:rFonts w:ascii="Calibri" w:hAnsi="Calibri"/>
          <w:sz w:val="22"/>
        </w:rPr>
        <w:t>Environment configuration guide (.env.example for frontend and backend)</w:t>
      </w:r>
    </w:p>
    <w:p>
      <w:pPr>
        <w:pStyle w:val="Heading1"/>
      </w:pPr>
      <w:r>
        <w:t>6. Timeline — 2 Months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75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Phase 1 — Kickoff &amp; foundation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Week 1–2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0"/>
              </w:rPr>
              <w:t>Requirements freeze, branding, Node.js API setup, PostgreSQL schema, auth/RBAC, branches/users, base layout</w:t>
            </w:r>
          </w:p>
        </w:tc>
      </w:tr>
      <w:tr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Phase 2 — Core operations</w:t>
            </w:r>
          </w:p>
        </w:tc>
        <w:tc>
          <w:tcPr>
            <w:tcW w:type="dxa" w:w="1728"/>
            <w:shd w:fill="F7FAFC" w:val="clear"/>
          </w:tcPr>
          <w:p>
            <w:r>
              <w:rPr>
                <w:rFonts w:ascii="Calibri" w:hAnsi="Calibri"/>
                <w:sz w:val="20"/>
              </w:rPr>
              <w:t>Week 3–4</w:t>
            </w:r>
          </w:p>
        </w:tc>
        <w:tc>
          <w:tcPr>
            <w:tcW w:type="dxa" w:w="4752"/>
            <w:shd w:fill="F7FAFC" w:val="clear"/>
          </w:tcPr>
          <w:p>
            <w:r>
              <w:rPr>
                <w:rFonts w:ascii="Calibri" w:hAnsi="Calibri"/>
                <w:sz w:val="20"/>
              </w:rPr>
              <w:t>Master Sheet, invoices, remittance, sub-agents, expenses, petty cash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Phase 3 — Accounting &amp; payroll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Week 5–6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0"/>
              </w:rPr>
              <w:t>GL/journals, ledgers, payroll, approvals, audit trail, tax screens</w:t>
            </w:r>
          </w:p>
        </w:tc>
      </w:tr>
      <w:tr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Phase 4 — Reports &amp; UAT</w:t>
            </w:r>
          </w:p>
        </w:tc>
        <w:tc>
          <w:tcPr>
            <w:tcW w:type="dxa" w:w="1728"/>
            <w:shd w:fill="F7FAFC" w:val="clear"/>
          </w:tcPr>
          <w:p>
            <w:r>
              <w:rPr>
                <w:rFonts w:ascii="Calibri" w:hAnsi="Calibri"/>
                <w:sz w:val="20"/>
              </w:rPr>
              <w:t>Week 7</w:t>
            </w:r>
          </w:p>
        </w:tc>
        <w:tc>
          <w:tcPr>
            <w:tcW w:type="dxa" w:w="4752"/>
            <w:shd w:fill="F7FAFC" w:val="clear"/>
          </w:tcPr>
          <w:p>
            <w:r>
              <w:rPr>
                <w:rFonts w:ascii="Calibri" w:hAnsi="Calibri"/>
                <w:sz w:val="20"/>
              </w:rPr>
              <w:t>Full report suite, filters/sorting, counsellor &amp; university P&amp;L, bug fixes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Phase 5 — Go-live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Week 8</w:t>
            </w:r>
          </w:p>
        </w:tc>
        <w:tc>
          <w:tcPr>
            <w:tcW w:type="dxa" w:w="4752"/>
          </w:tcPr>
          <w:p>
            <w:r>
              <w:rPr>
                <w:rFonts w:ascii="Calibri" w:hAnsi="Calibri"/>
                <w:sz w:val="20"/>
              </w:rPr>
              <w:t>UAT sign-off, training, deployment, final handover</w:t>
            </w:r>
          </w:p>
        </w:tc>
      </w:tr>
    </w:tbl>
    <w:p/>
    <w:p>
      <w:pPr>
        <w:pStyle w:val="Heading2"/>
      </w:pPr>
      <w:r>
        <w:t>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0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59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Payment trigger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Project start / kickoff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Week 1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Advance 50% due</w:t>
            </w:r>
          </w:p>
        </w:tc>
      </w:tr>
      <w:tr>
        <w:tc>
          <w:tcPr>
            <w:tcW w:type="dxa" w:w="3600"/>
            <w:shd w:fill="F7FAFC" w:val="clear"/>
          </w:tcPr>
          <w:p>
            <w:r>
              <w:rPr>
                <w:rFonts w:ascii="Calibri" w:hAnsi="Calibri"/>
                <w:sz w:val="20"/>
              </w:rPr>
              <w:t>Mid review (core modules demo)</w:t>
            </w:r>
          </w:p>
        </w:tc>
        <w:tc>
          <w:tcPr>
            <w:tcW w:type="dxa" w:w="2592"/>
            <w:shd w:fill="F7FAFC" w:val="clear"/>
          </w:tcPr>
          <w:p>
            <w:r>
              <w:rPr>
                <w:rFonts w:ascii="Calibri" w:hAnsi="Calibri"/>
                <w:sz w:val="20"/>
              </w:rPr>
              <w:t>End of Week 4</w:t>
            </w:r>
          </w:p>
        </w:tc>
        <w:tc>
          <w:tcPr>
            <w:tcW w:type="dxa" w:w="3456"/>
            <w:shd w:fill="F7FAFC" w:val="clear"/>
          </w:tcPr>
          <w:p>
            <w:r>
              <w:rPr>
                <w:rFonts w:ascii="Calibri" w:hAnsi="Calibri"/>
                <w:sz w:val="20"/>
              </w:rPr>
              <w:t>Progress review (no payment)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UAT &amp; final delivery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End of Week 8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Balance 50% due</w:t>
            </w:r>
          </w:p>
        </w:tc>
      </w:tr>
    </w:tbl>
    <w:p/>
    <w:p>
      <w:pPr>
        <w:pStyle w:val="Heading1"/>
      </w:pPr>
      <w:r>
        <w:t>7. Commercial Terms</w:t>
      </w:r>
    </w:p>
    <w:p>
      <w:pPr>
        <w:pStyle w:val="Heading2"/>
      </w:pPr>
      <w:r>
        <w:t>7.1 Project fee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4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 (USD)</w:t>
            </w:r>
          </w:p>
        </w:tc>
      </w:tr>
      <w:tr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D’ Educationist Accounting System — full development package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3,500.00</w:t>
            </w:r>
          </w:p>
        </w:tc>
      </w:tr>
      <w:tr>
        <w:tc>
          <w:tcPr>
            <w:tcW w:type="dxa" w:w="6480"/>
            <w:shd w:fill="F7FAFC" w:val="clear"/>
          </w:tcPr>
          <w:p>
            <w:r>
              <w:rPr>
                <w:rFonts w:ascii="Calibri" w:hAnsi="Calibri"/>
                <w:sz w:val="20"/>
              </w:rPr>
              <w:t>Total project value</w:t>
            </w:r>
          </w:p>
        </w:tc>
        <w:tc>
          <w:tcPr>
            <w:tcW w:type="dxa" w:w="3168"/>
            <w:shd w:fill="F7FAFC" w:val="clear"/>
          </w:tcPr>
          <w:p>
            <w:r>
              <w:rPr>
                <w:rFonts w:ascii="Calibri" w:hAnsi="Calibri"/>
                <w:sz w:val="20"/>
              </w:rPr>
              <w:t>USD 3,500.00</w:t>
            </w:r>
          </w:p>
        </w:tc>
      </w:tr>
    </w:tbl>
    <w:p/>
    <w:p>
      <w:pPr>
        <w:pStyle w:val="Heading2"/>
      </w:pPr>
      <w:r>
        <w:t>7.2 Payment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Installment</w:t>
            </w:r>
          </w:p>
        </w:tc>
        <w:tc>
          <w:tcPr>
            <w:tcW w:type="dxa" w:w="460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244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Advance (50%)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  <w:t>On proposal acceptance / before development start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USD 1,750.00</w:t>
            </w:r>
          </w:p>
        </w:tc>
      </w:tr>
      <w:tr>
        <w:tc>
          <w:tcPr>
            <w:tcW w:type="dxa" w:w="2592"/>
            <w:shd w:fill="F7FAFC" w:val="clear"/>
          </w:tcPr>
          <w:p>
            <w:r>
              <w:rPr>
                <w:rFonts w:ascii="Calibri" w:hAnsi="Calibri"/>
                <w:sz w:val="20"/>
              </w:rPr>
              <w:t>Final (50%)</w:t>
            </w:r>
          </w:p>
        </w:tc>
        <w:tc>
          <w:tcPr>
            <w:tcW w:type="dxa" w:w="4608"/>
            <w:shd w:fill="F7FAFC" w:val="clear"/>
          </w:tcPr>
          <w:p>
            <w:r>
              <w:rPr>
                <w:rFonts w:ascii="Calibri" w:hAnsi="Calibri"/>
                <w:sz w:val="20"/>
              </w:rPr>
              <w:t>On UAT sign-off and delivery of source code + go-live build</w:t>
            </w:r>
          </w:p>
        </w:tc>
        <w:tc>
          <w:tcPr>
            <w:tcW w:type="dxa" w:w="2448"/>
            <w:shd w:fill="F7FAFC" w:val="clear"/>
          </w:tcPr>
          <w:p>
            <w:r>
              <w:rPr>
                <w:rFonts w:ascii="Calibri" w:hAnsi="Calibri"/>
                <w:sz w:val="20"/>
              </w:rPr>
              <w:t>USD 1,750.00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  <w:t>USD 3,500.00</w:t>
            </w:r>
          </w:p>
        </w:tc>
      </w:tr>
    </w:tbl>
    <w:p/>
    <w:p>
      <w:pPr>
        <w:pStyle w:val="Heading2"/>
      </w:pPr>
      <w:r>
        <w:t>7.3 Payment method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Bank transfer / Wise / Payoneer / other mutually agreed channel. Bank details will be shared on invoice after acceptance.</w:t>
      </w:r>
    </w:p>
    <w:p>
      <w:pPr>
        <w:pStyle w:val="Heading2"/>
      </w:pPr>
      <w:r>
        <w:t>7.4 Inclusions</w:t>
      </w:r>
    </w:p>
    <w:p>
      <w:pPr>
        <w:pStyle w:val="ListBullet"/>
      </w:pPr>
      <w:r>
        <w:rPr>
          <w:rFonts w:ascii="Calibri" w:hAnsi="Calibri"/>
          <w:sz w:val="22"/>
        </w:rPr>
        <w:t>Development as per scope in Section 3</w:t>
      </w:r>
    </w:p>
    <w:p>
      <w:pPr>
        <w:pStyle w:val="ListBullet"/>
      </w:pPr>
      <w:r>
        <w:rPr>
          <w:rFonts w:ascii="Calibri" w:hAnsi="Calibri"/>
          <w:sz w:val="22"/>
        </w:rPr>
        <w:t>Up to two (2) rounds of minor UI/logic revisions during UAT</w:t>
      </w:r>
    </w:p>
    <w:p>
      <w:pPr>
        <w:pStyle w:val="ListBullet"/>
      </w:pPr>
      <w:r>
        <w:rPr>
          <w:rFonts w:ascii="Calibri" w:hAnsi="Calibri"/>
          <w:sz w:val="22"/>
        </w:rPr>
        <w:t>Training session and basic documentation</w:t>
      </w:r>
    </w:p>
    <w:p>
      <w:pPr>
        <w:pStyle w:val="Heading2"/>
      </w:pPr>
      <w:r>
        <w:t>7.5 Exclusions (not included in USD 3,500)</w:t>
      </w:r>
    </w:p>
    <w:p>
      <w:pPr>
        <w:pStyle w:val="ListBullet"/>
      </w:pPr>
      <w:r>
        <w:rPr>
          <w:rFonts w:ascii="Calibri" w:hAnsi="Calibri"/>
          <w:sz w:val="22"/>
        </w:rPr>
        <w:t>Third-party costs: domain, SSL, hosting, SMS/email provider fees</w:t>
      </w:r>
    </w:p>
    <w:p>
      <w:pPr>
        <w:pStyle w:val="ListBullet"/>
      </w:pPr>
      <w:r>
        <w:rPr>
          <w:rFonts w:ascii="Calibri" w:hAnsi="Calibri"/>
          <w:sz w:val="22"/>
        </w:rPr>
        <w:t>FBR / PEPPOL / bank API integrations (can be quoted separately)</w:t>
      </w:r>
    </w:p>
    <w:p>
      <w:pPr>
        <w:pStyle w:val="ListBullet"/>
      </w:pPr>
      <w:r>
        <w:rPr>
          <w:rFonts w:ascii="Calibri" w:hAnsi="Calibri"/>
          <w:sz w:val="22"/>
        </w:rPr>
        <w:t>Mobile native apps (iOS/Android)</w:t>
      </w:r>
    </w:p>
    <w:p>
      <w:pPr>
        <w:pStyle w:val="ListBullet"/>
      </w:pPr>
      <w:r>
        <w:rPr>
          <w:rFonts w:ascii="Calibri" w:hAnsi="Calibri"/>
          <w:sz w:val="22"/>
        </w:rPr>
        <w:t>Data migration from legacy Excel beyond an agreed sample template</w:t>
      </w:r>
    </w:p>
    <w:p>
      <w:pPr>
        <w:pStyle w:val="ListBullet"/>
      </w:pPr>
      <w:r>
        <w:rPr>
          <w:rFonts w:ascii="Calibri" w:hAnsi="Calibri"/>
          <w:sz w:val="22"/>
        </w:rPr>
        <w:t>Ongoing monthly support after free warranty period (see Section 8)</w:t>
      </w:r>
    </w:p>
    <w:p>
      <w:pPr>
        <w:pStyle w:val="ListBullet"/>
      </w:pPr>
      <w:r>
        <w:rPr>
          <w:rFonts w:ascii="Calibri" w:hAnsi="Calibri"/>
          <w:sz w:val="22"/>
        </w:rPr>
        <w:t>Major scope changes after kickoff sign-off</w:t>
      </w:r>
    </w:p>
    <w:p>
      <w:pPr>
        <w:pStyle w:val="Heading1"/>
      </w:pPr>
      <w:r>
        <w:t>8. Warranty &amp;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Bug-fix warranty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30 days after final delivery for defects in agreed scope</w:t>
            </w:r>
          </w:p>
        </w:tc>
      </w:tr>
      <w:tr>
        <w:tc>
          <w:tcPr>
            <w:tcW w:type="dxa" w:w="2880"/>
            <w:shd w:fill="F7FAFC" w:val="clear"/>
          </w:tcPr>
          <w:p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6768"/>
            <w:shd w:fill="F7FAFC" w:val="clear"/>
          </w:tcPr>
          <w:p>
            <w:r>
              <w:rPr>
                <w:rFonts w:ascii="Calibri" w:hAnsi="Calibri"/>
                <w:sz w:val="20"/>
              </w:rPr>
              <w:t>Reasonable effort within 1–2 business days during warranty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Post-warranty</w:t>
            </w:r>
          </w:p>
        </w:tc>
        <w:tc>
          <w:tcPr>
            <w:tcW w:type="dxa" w:w="6768"/>
          </w:tcPr>
          <w:p>
            <w:r>
              <w:rPr>
                <w:rFonts w:ascii="Calibri" w:hAnsi="Calibri"/>
                <w:sz w:val="20"/>
              </w:rPr>
              <w:t>Optional AMC / support retainer — to be quoted separately (suggested: USD 100–200 / month)</w:t>
            </w:r>
          </w:p>
        </w:tc>
      </w:tr>
    </w:tbl>
    <w:p/>
    <w:p>
      <w:pPr>
        <w:pStyle w:val="Heading1"/>
      </w:pPr>
      <w:r>
        <w:t>9. Change Requests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Any feature not listed in Section 3 will be treated as a change request, estimated in writing (time + cost) and started only after written client approval.</w:t>
      </w:r>
    </w:p>
    <w:p>
      <w:pPr>
        <w:pStyle w:val="Heading1"/>
      </w:pPr>
      <w:r>
        <w:t>10. Client Responsibilities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To keep the 2-month schedule, the client will provide:</w:t>
      </w:r>
    </w:p>
    <w:p>
      <w:pPr>
        <w:pStyle w:val="ListNumber"/>
      </w:pPr>
      <w:r>
        <w:rPr>
          <w:rFonts w:ascii="Calibri" w:hAnsi="Calibri"/>
          <w:sz w:val="22"/>
        </w:rPr>
        <w:t>Timely feedback (within 3 business days of each review)</w:t>
      </w:r>
    </w:p>
    <w:p>
      <w:pPr>
        <w:pStyle w:val="ListNumber"/>
      </w:pPr>
      <w:r>
        <w:rPr>
          <w:rFonts w:ascii="Calibri" w:hAnsi="Calibri"/>
          <w:sz w:val="22"/>
        </w:rPr>
        <w:t>Final logo, brand colors, and letterhead if needed for invoices</w:t>
      </w:r>
    </w:p>
    <w:p>
      <w:pPr>
        <w:pStyle w:val="ListNumber"/>
      </w:pPr>
      <w:r>
        <w:rPr>
          <w:rFonts w:ascii="Calibri" w:hAnsi="Calibri"/>
          <w:sz w:val="22"/>
        </w:rPr>
        <w:t>Sample data / business rules confirmation (commission rates, branches, roles)</w:t>
      </w:r>
    </w:p>
    <w:p>
      <w:pPr>
        <w:pStyle w:val="ListNumber"/>
      </w:pPr>
      <w:r>
        <w:rPr>
          <w:rFonts w:ascii="Calibri" w:hAnsi="Calibri"/>
          <w:sz w:val="22"/>
        </w:rPr>
        <w:t>Hosting / domain access (if client-managed) or approval of hosting plan</w:t>
      </w:r>
    </w:p>
    <w:p>
      <w:pPr>
        <w:pStyle w:val="ListNumber"/>
      </w:pPr>
      <w:r>
        <w:rPr>
          <w:rFonts w:ascii="Calibri" w:hAnsi="Calibri"/>
          <w:sz w:val="22"/>
        </w:rPr>
        <w:t>Named UAT contact for sign-off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Delays in client feedback may extend the delivery date without penalty to the developer.</w:t>
      </w:r>
    </w:p>
    <w:p>
      <w:pPr>
        <w:pStyle w:val="Heading1"/>
      </w:pPr>
      <w:r>
        <w:t>11. Assumptions</w:t>
      </w:r>
    </w:p>
    <w:p>
      <w:pPr>
        <w:pStyle w:val="ListBullet"/>
      </w:pPr>
      <w:r>
        <w:rPr>
          <w:rFonts w:ascii="Calibri" w:hAnsi="Calibri"/>
          <w:sz w:val="22"/>
        </w:rPr>
        <w:t>Primary users: internal staff (not public student portal)</w:t>
      </w:r>
    </w:p>
    <w:p>
      <w:pPr>
        <w:pStyle w:val="ListBullet"/>
      </w:pPr>
      <w:r>
        <w:rPr>
          <w:rFonts w:ascii="Calibri" w:hAnsi="Calibri"/>
          <w:sz w:val="22"/>
        </w:rPr>
        <w:t>English UI</w:t>
      </w:r>
    </w:p>
    <w:p>
      <w:pPr>
        <w:pStyle w:val="ListBullet"/>
      </w:pPr>
      <w:r>
        <w:rPr>
          <w:rFonts w:ascii="Calibri" w:hAnsi="Calibri"/>
          <w:sz w:val="22"/>
        </w:rPr>
        <w:t>Multi-branch Pakistan operations (Karachi, Lahore, Islamabad, etc.)</w:t>
      </w:r>
    </w:p>
    <w:p>
      <w:pPr>
        <w:pStyle w:val="ListBullet"/>
      </w:pPr>
      <w:r>
        <w:rPr>
          <w:rFonts w:ascii="Calibri" w:hAnsi="Calibri"/>
          <w:sz w:val="22"/>
        </w:rPr>
        <w:t>Multi-currency commission tracking with PKR reporting</w:t>
      </w:r>
    </w:p>
    <w:p>
      <w:pPr>
        <w:pStyle w:val="ListBullet"/>
      </w:pPr>
      <w:r>
        <w:rPr>
          <w:rFonts w:ascii="Calibri" w:hAnsi="Calibri"/>
          <w:sz w:val="22"/>
        </w:rPr>
        <w:t>Backend stack fixed as Node.js; database fixed as PostgreSQL</w:t>
      </w:r>
    </w:p>
    <w:p>
      <w:pPr>
        <w:pStyle w:val="ListBullet"/>
      </w:pPr>
      <w:r>
        <w:rPr>
          <w:rFonts w:ascii="Calibri" w:hAnsi="Calibri"/>
          <w:sz w:val="22"/>
        </w:rPr>
        <w:t>One production environment in scope (plus optional staging if hosting allows)</w:t>
      </w:r>
    </w:p>
    <w:p>
      <w:pPr>
        <w:pStyle w:val="ListBullet"/>
      </w:pPr>
      <w:r>
        <w:rPr>
          <w:rFonts w:ascii="Calibri" w:hAnsi="Calibri"/>
          <w:sz w:val="22"/>
        </w:rPr>
        <w:t>Scope frozen after Week 1 kickoff (except paid change requests)</w:t>
      </w:r>
    </w:p>
    <w:p>
      <w:pPr>
        <w:pStyle w:val="Heading1"/>
      </w:pPr>
      <w:r>
        <w:t>12. Acceptance Criteria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project will be considered complete when:</w:t>
      </w:r>
    </w:p>
    <w:p>
      <w:pPr>
        <w:pStyle w:val="ListNumber"/>
      </w:pPr>
      <w:r>
        <w:rPr>
          <w:rFonts w:ascii="Calibri" w:hAnsi="Calibri"/>
          <w:sz w:val="22"/>
        </w:rPr>
        <w:t>Modules in Section 3 are available in the production/staging build</w:t>
      </w:r>
    </w:p>
    <w:p>
      <w:pPr>
        <w:pStyle w:val="ListNumber"/>
      </w:pPr>
      <w:r>
        <w:rPr>
          <w:rFonts w:ascii="Calibri" w:hAnsi="Calibri"/>
          <w:sz w:val="22"/>
        </w:rPr>
        <w:t>Super Admin can manage branches, users, and view all-branch reports</w:t>
      </w:r>
    </w:p>
    <w:p>
      <w:pPr>
        <w:pStyle w:val="ListNumber"/>
      </w:pPr>
      <w:r>
        <w:rPr>
          <w:rFonts w:ascii="Calibri" w:hAnsi="Calibri"/>
          <w:sz w:val="22"/>
        </w:rPr>
        <w:t>Branch users see only their branch data (as per RBAC)</w:t>
      </w:r>
    </w:p>
    <w:p>
      <w:pPr>
        <w:pStyle w:val="ListNumber"/>
      </w:pPr>
      <w:r>
        <w:rPr>
          <w:rFonts w:ascii="Calibri" w:hAnsi="Calibri"/>
          <w:sz w:val="22"/>
        </w:rPr>
        <w:t>Counsellor dashboard/report shows counsellor-scoped data</w:t>
      </w:r>
    </w:p>
    <w:p>
      <w:pPr>
        <w:pStyle w:val="ListNumber"/>
      </w:pPr>
      <w:r>
        <w:rPr>
          <w:rFonts w:ascii="Calibri" w:hAnsi="Calibri"/>
          <w:sz w:val="22"/>
        </w:rPr>
        <w:t>Client completes UAT checklist and provides written / email sign-off</w:t>
      </w:r>
    </w:p>
    <w:p>
      <w:pPr>
        <w:pStyle w:val="ListNumber"/>
      </w:pPr>
      <w:r>
        <w:rPr>
          <w:rFonts w:ascii="Calibri" w:hAnsi="Calibri"/>
          <w:sz w:val="22"/>
        </w:rPr>
        <w:t>Source code and credentials are handed over after final payment</w:t>
      </w:r>
    </w:p>
    <w:p>
      <w:pPr>
        <w:pStyle w:val="Heading1"/>
      </w:pPr>
      <w:r>
        <w:t>13. Confidentiality &amp; Intellectual Property</w:t>
      </w:r>
    </w:p>
    <w:p>
      <w:pPr>
        <w:pStyle w:val="ListBullet"/>
      </w:pPr>
      <w:r>
        <w:rPr>
          <w:rFonts w:ascii="Calibri" w:hAnsi="Calibri"/>
          <w:sz w:val="22"/>
        </w:rPr>
        <w:t>Both parties will keep business and technical information confidential.</w:t>
      </w:r>
    </w:p>
    <w:p>
      <w:pPr>
        <w:pStyle w:val="ListBullet"/>
      </w:pPr>
      <w:r>
        <w:rPr>
          <w:rFonts w:ascii="Calibri" w:hAnsi="Calibri"/>
          <w:sz w:val="22"/>
        </w:rPr>
        <w:t>Upon full payment, source code and project IP for this system transfer to the client.</w:t>
      </w:r>
    </w:p>
    <w:p>
      <w:pPr>
        <w:pStyle w:val="ListBullet"/>
      </w:pPr>
      <w:r>
        <w:rPr>
          <w:rFonts w:ascii="Calibri" w:hAnsi="Calibri"/>
          <w:sz w:val="22"/>
        </w:rPr>
        <w:t>Until final payment, the developer retains ownership of the work product.</w:t>
      </w:r>
    </w:p>
    <w:p>
      <w:pPr>
        <w:pStyle w:val="ListBullet"/>
      </w:pPr>
      <w:r>
        <w:rPr>
          <w:rFonts w:ascii="Calibri" w:hAnsi="Calibri"/>
          <w:sz w:val="22"/>
        </w:rPr>
        <w:t>Third-party libraries remain under their respective open-source licenses.</w:t>
      </w:r>
    </w:p>
    <w:p>
      <w:pPr>
        <w:pStyle w:val="Heading1"/>
      </w:pPr>
      <w:r>
        <w:t>14. Acceptance of Proposal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By signing below, the client accepts this proposal, the scope, timeline, and commercial terms.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600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456"/>
            <w:shd w:fill="1A365D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Developer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shd w:fill="F7FAFC" w:val="clear"/>
          </w:tcPr>
          <w:p>
            <w:r>
              <w:rPr>
                <w:rFonts w:ascii="Calibri" w:hAnsi="Calibri"/>
                <w:sz w:val="20"/>
              </w:rPr>
              <w:t>Designation</w:t>
            </w:r>
          </w:p>
        </w:tc>
        <w:tc>
          <w:tcPr>
            <w:tcW w:type="dxa" w:w="3600"/>
            <w:shd w:fill="F7FAFC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shd w:fill="F7FAFC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Organization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D’ Educationist Private Limited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shd w:fill="F7FAFC" w:val="clear"/>
          </w:tcPr>
          <w:p>
            <w:r>
              <w:rPr>
                <w:rFonts w:ascii="Calibri" w:hAnsi="Calibri"/>
                <w:sz w:val="20"/>
              </w:rPr>
              <w:t>Signature</w:t>
            </w:r>
          </w:p>
        </w:tc>
        <w:tc>
          <w:tcPr>
            <w:tcW w:type="dxa" w:w="3600"/>
            <w:shd w:fill="F7FAFC" w:val="clear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shd w:fill="F7FAFC" w:val="clear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2"/>
        </w:rPr>
        <w:t xml:space="preserve">Advance due on acceptance: </w:t>
      </w:r>
      <w:r>
        <w:rPr>
          <w:rFonts w:ascii="Calibri" w:hAnsi="Calibri"/>
          <w:b/>
          <w:sz w:val="22"/>
        </w:rPr>
        <w:t>USD 1,750.00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Balance due on delivery: </w:t>
      </w:r>
      <w:r>
        <w:rPr>
          <w:rFonts w:ascii="Calibri" w:hAnsi="Calibri"/>
          <w:b/>
          <w:sz w:val="22"/>
        </w:rPr>
        <w:t>USD 1,750.00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Total: </w:t>
      </w:r>
      <w:r>
        <w:rPr>
          <w:rFonts w:ascii="Calibri" w:hAnsi="Calibri"/>
          <w:b/>
          <w:sz w:val="22"/>
        </w:rPr>
        <w:t>USD 3,500.00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Duration: </w:t>
      </w:r>
      <w:r>
        <w:rPr>
          <w:rFonts w:ascii="Calibri" w:hAnsi="Calibri"/>
          <w:b/>
          <w:sz w:val="22"/>
        </w:rPr>
        <w:t>2 months</w:t>
      </w:r>
    </w:p>
    <w:p>
      <w:pPr>
        <w:pStyle w:val="Heading1"/>
      </w:pPr>
      <w:r>
        <w:t>15. Next Steps</w:t>
      </w:r>
    </w:p>
    <w:p>
      <w:pPr>
        <w:pStyle w:val="ListNumber"/>
      </w:pPr>
      <w:r>
        <w:rPr>
          <w:rFonts w:ascii="Calibri" w:hAnsi="Calibri"/>
          <w:sz w:val="22"/>
        </w:rPr>
        <w:t>Client reviews and signs this proposal</w:t>
      </w:r>
    </w:p>
    <w:p>
      <w:pPr>
        <w:pStyle w:val="ListNumber"/>
      </w:pPr>
      <w:r>
        <w:rPr>
          <w:rFonts w:ascii="Calibri" w:hAnsi="Calibri"/>
          <w:sz w:val="22"/>
        </w:rPr>
        <w:t>Advance invoice issued → payment of USD 1,750</w:t>
      </w:r>
    </w:p>
    <w:p>
      <w:pPr>
        <w:pStyle w:val="ListNumber"/>
      </w:pPr>
      <w:r>
        <w:rPr>
          <w:rFonts w:ascii="Calibri" w:hAnsi="Calibri"/>
          <w:sz w:val="22"/>
        </w:rPr>
        <w:t>Kickoff meeting (Week 1) — requirements freeze &amp; branding</w:t>
      </w:r>
    </w:p>
    <w:p>
      <w:pPr>
        <w:pStyle w:val="ListNumber"/>
      </w:pPr>
      <w:r>
        <w:rPr>
          <w:rFonts w:ascii="Calibri" w:hAnsi="Calibri"/>
          <w:sz w:val="22"/>
        </w:rPr>
        <w:t>Development as per 8-week plan</w:t>
      </w:r>
    </w:p>
    <w:p>
      <w:pPr>
        <w:pStyle w:val="ListNumber"/>
      </w:pPr>
      <w:r>
        <w:rPr>
          <w:rFonts w:ascii="Calibri" w:hAnsi="Calibri"/>
          <w:sz w:val="22"/>
        </w:rPr>
        <w:t>Mid demo (Week 4)</w:t>
      </w:r>
    </w:p>
    <w:p>
      <w:pPr>
        <w:pStyle w:val="ListNumber"/>
      </w:pPr>
      <w:r>
        <w:rPr>
          <w:rFonts w:ascii="Calibri" w:hAnsi="Calibri"/>
          <w:sz w:val="22"/>
        </w:rPr>
        <w:t>UAT, training, go-live (Week 8)</w:t>
      </w:r>
    </w:p>
    <w:p>
      <w:pPr>
        <w:pStyle w:val="ListNumber"/>
      </w:pPr>
      <w:r>
        <w:rPr>
          <w:rFonts w:ascii="Calibri" w:hAnsi="Calibri"/>
          <w:sz w:val="22"/>
        </w:rPr>
        <w:t>Final payment USD 1,750 → source code handover</w:t>
      </w:r>
    </w:p>
    <w:p>
      <w:pPr>
        <w:spacing w:before="240"/>
      </w:pPr>
      <w:r>
        <w:rPr>
          <w:rFonts w:ascii="Calibri" w:hAnsi="Calibri"/>
          <w:i/>
          <w:sz w:val="22"/>
        </w:rPr>
        <w:t>Thank you for the opportunity to partner with D’ Educationist. We look forward to delivering a reliable accounting system that supports your multi-branch study-abroad operations.</w:t>
      </w:r>
    </w:p>
    <w:p/>
    <w:p>
      <w:pPr>
        <w:spacing w:after="120"/>
      </w:pPr>
      <w:r>
        <w:rPr>
          <w:rFonts w:ascii="Calibri" w:hAnsi="Calibri"/>
          <w:b/>
          <w:sz w:val="22"/>
        </w:rPr>
        <w:t xml:space="preserve">Contact: </w:t>
      </w:r>
      <w:r>
        <w:rPr>
          <w:rFonts w:ascii="Calibri" w:hAnsi="Calibri"/>
          <w:b w:val="0"/>
          <w:sz w:val="22"/>
        </w:rPr>
        <w:t>______________________________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Email: </w:t>
      </w:r>
      <w:r>
        <w:rPr>
          <w:rFonts w:ascii="Calibri" w:hAnsi="Calibri"/>
          <w:b w:val="0"/>
          <w:sz w:val="22"/>
        </w:rPr>
        <w:t>______________________________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Phone: </w:t>
      </w:r>
      <w:r>
        <w:rPr>
          <w:rFonts w:ascii="Calibri" w:hAnsi="Calibri"/>
          <w:b w:val="0"/>
          <w:sz w:val="22"/>
        </w:rPr>
        <w:t>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